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t>ATLAS CRIPTOZOOLÓGICO</w:t>
      </w:r>
    </w:p>
    <w:p>
      <w:pPr>
        <w:jc w:val="center"/>
      </w:pPr>
      <w:r>
        <w:rPr>
          <w:b w:val="0"/>
          <w:i/>
          <w:sz w:val="30"/>
        </w:rPr>
        <w:t>Manuscrito Maestro</w:t>
      </w:r>
    </w:p>
    <w:p>
      <w:pPr>
        <w:jc w:val="center"/>
      </w:pPr>
      <w:r>
        <w:rPr>
          <w:b/>
          <w:i w:val="0"/>
          <w:sz w:val="28"/>
        </w:rPr>
        <w:t>VOLUMEN I — AMÉRICA</w:t>
      </w:r>
    </w:p>
    <w:p/>
    <w:p>
      <w:pPr>
        <w:jc w:val="center"/>
      </w:pPr>
      <w:r>
        <w:rPr>
          <w:b/>
          <w:i w:val="0"/>
          <w:sz w:val="36"/>
        </w:rPr>
        <w:t>v0.2</w:t>
      </w:r>
    </w:p>
    <w:p>
      <w:pPr>
        <w:jc w:val="center"/>
      </w:pPr>
      <w:r>
        <w:rPr>
          <w:b/>
          <w:i w:val="0"/>
          <w:sz w:val="48"/>
        </w:rPr>
        <w:t>PRÓLOGO</w:t>
      </w:r>
    </w:p>
    <w:p/>
    <w:p>
      <w:pPr>
        <w:jc w:val="center"/>
      </w:pPr>
      <w:r>
        <w:rPr>
          <w:b w:val="0"/>
          <w:i w:val="0"/>
          <w:sz w:val="20"/>
        </w:rPr>
        <w:t>Estado: Entregable editorial</w:t>
      </w:r>
    </w:p>
    <w:p>
      <w:r>
        <w:br w:type="page"/>
      </w:r>
    </w:p>
    <w:p>
      <w:pPr>
        <w:jc w:val="center"/>
      </w:pPr>
      <w:r>
        <w:rPr>
          <w:b/>
          <w:i w:val="0"/>
          <w:sz w:val="60"/>
        </w:rPr>
        <w:t>PRÓLOGO</w:t>
      </w:r>
    </w:p>
    <w:p>
      <w:pPr>
        <w:jc w:val="center"/>
      </w:pPr>
      <w:r>
        <w:rPr>
          <w:b w:val="0"/>
          <w:i/>
          <w:sz w:val="24"/>
        </w:rPr>
        <w:t>Una invitación a explorar lo desconocido</w:t>
      </w:r>
    </w:p>
    <w:p/>
    <w:p>
      <w:pPr>
        <w:jc w:val="center"/>
      </w:pPr>
      <w:r>
        <w:rPr>
          <w:b/>
          <w:sz w:val="22"/>
        </w:rPr>
        <w:t>[ ESPACIO RESERVADO — ILUSTRACIÓN ATMOSFÉRICA DE APERTURA DEL PRÓLOGO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Prólogo</w:t>
      </w:r>
    </w:p>
    <w:p>
      <w:r>
        <w:t>Desde tiempos remotos, los seres humanos han contado historias sobre criaturas que no encajan en los catálogos conocidos. Algunas podrían haber sido animales reales vistos en condiciones excepcionales; otras parecen surgir del folclore, la imaginación o una combinación de ambos. Y, en algunos casos, queda abierta una pregunta incómoda: ¿y si detrás del mito existiera algo todavía no comprendido?</w:t>
      </w:r>
    </w:p>
    <w:p>
      <w:r>
        <w:t>Este atlas nace de esa pregunta.</w:t>
      </w:r>
    </w:p>
    <w:p>
      <w:r>
        <w:t>Pero también nace de una convicción: investigar lo desconocido no significa creer ciegamente en él.</w:t>
      </w:r>
    </w:p>
    <w:p>
      <w:r>
        <w:t>Por eso, cada expediente de esta obra intenta separar tres elementos que con frecuencia aparecen mezclados: el relato, la evidencia y la interpretación.</w:t>
      </w:r>
    </w:p>
    <w:p>
      <w:r>
        <w:t>Un testimonio puede ser sincero y, aun así, estar equivocado. Una fotografía puede ser intrigante y, al mismo tiempo, no resultar concluyente. Una tradición puede conservar información valiosa sobre la fauna de una región sin constituir por sí misma una prueba zoológica.</w:t>
      </w:r>
    </w:p>
    <w:p>
      <w:r>
        <w:t>El desafío consiste en mantener abiertas las preguntas sin abandonar el pensamiento crítico.</w:t>
      </w:r>
    </w:p>
    <w:p>
      <w:r>
        <w:t>Este volumen se concentra en América, un continente cuya enorme diversidad geográfica y biológica ha alimentado durante siglos relatos sobre criaturas misteriosas: desde los bosques y montañas del norte hasta las selvas, llanuras, ríos y lagos de Centroamérica y Sudamérica.</w:t>
      </w:r>
    </w:p>
    <w:p>
      <w:r>
        <w:t>En sus páginas aparecen expedientes de criaturas conocidas mundialmente, junto con relatos regionales que merecen ser documentados y examinados.</w:t>
      </w:r>
    </w:p>
    <w:p>
      <w:r>
        <w:t>No todas las historias tendrán el mismo peso. No todas las evidencias tendrán el mismo valor. Y no todos los casos llegarán a una conclusión.</w:t>
      </w:r>
    </w:p>
    <w:p>
      <w:r>
        <w:t>Esa diferencia es deliberada.</w:t>
      </w:r>
    </w:p>
    <w:p>
      <w:r>
        <w:t>El objetivo de este atlas no es presentar una colección de monstruos, sino construir un archivo organizado de preguntas.</w:t>
      </w:r>
    </w:p>
    <w:p>
      <w:r>
        <w:t>Cada expediente representa un punto de encuentro entre zoología, historia, antropología, cultura popular, exploración y percepción humana.</w:t>
      </w:r>
    </w:p>
    <w:p>
      <w:r>
        <w:t>En algunos casos, la investigación podrá acercarnos a una explicación convencional. En otros, la documentación dejará preguntas abiertas.</w:t>
      </w:r>
    </w:p>
    <w:p>
      <w:r>
        <w:t>Y quizá ese sea el verdadero valor de la criptozoología: recordarnos que todavía existen rincones del mundo, relatos y fenómenos que nos obligan a investigar antes de afirmar.</w:t>
      </w:r>
    </w:p>
    <w:p>
      <w:r>
        <w:t>Bienvenido al Atlas Criptozoológico.</w:t>
      </w:r>
    </w:p>
    <w:p>
      <w:r>
        <w:t>Explora con curiosidad.</w:t>
      </w:r>
    </w:p>
    <w:p>
      <w:r>
        <w:t>Documenta con rigor.</w:t>
      </w:r>
    </w:p>
    <w:p>
      <w:r>
        <w:t>Y, sobre todo, distingue los hechos del misterio.</w:t>
      </w:r>
    </w:p>
    <w:p>
      <w:r>
        <w:br w:type="page"/>
      </w:r>
    </w:p>
    <w:p>
      <w:pPr>
        <w:pStyle w:val="Heading1"/>
      </w:pPr>
      <w:r>
        <w:t>Plan visual del prólogo</w:t>
      </w:r>
    </w:p>
    <w:p>
      <w:r>
        <w:t>Esta página es interna para producción y no forma parte del texto destinado al lector.</w:t>
      </w:r>
    </w:p>
    <w:p>
      <w:r>
        <w:rPr>
          <w:b/>
        </w:rPr>
        <w:t xml:space="preserve">Ilustración de apertura: </w:t>
      </w:r>
      <w:r>
        <w:t>Una imagen panorámica y atmosférica que sugiera exploración, bosque, montaña, agua y archivo documental. Evitar representar una criatura concreta como si estuviera confirmada.</w:t>
      </w:r>
    </w:p>
    <w:p>
      <w:r>
        <w:rPr>
          <w:b/>
        </w:rPr>
        <w:t xml:space="preserve">Recurso lateral: </w:t>
      </w:r>
      <w:r>
        <w:t>Pequeño motivo gráfico del IIIC o textura de expediente documental.</w:t>
      </w:r>
    </w:p>
    <w:p>
      <w:r>
        <w:rPr>
          <w:b/>
        </w:rPr>
        <w:t xml:space="preserve">Ritmo de página: </w:t>
      </w:r>
      <w:r>
        <w:t>Alternar páginas de texto limpio con una página visual para evitar bloques densos.</w:t>
      </w:r>
    </w:p>
    <w:p>
      <w:r>
        <w:rPr>
          <w:b/>
        </w:rPr>
        <w:t xml:space="preserve">Cierre del prólogo: </w:t>
      </w:r>
      <w:r>
        <w:t>Página de transición con el lema institucional antes de comenzar la Introducción.</w:t>
      </w:r>
    </w:p>
    <w:p>
      <w:r>
        <w:br w:type="page"/>
      </w:r>
    </w:p>
    <w:p>
      <w:pPr>
        <w:pStyle w:val="Heading1"/>
      </w:pPr>
      <w:r>
        <w:t>Bitácora editorial — v0.2</w:t>
      </w:r>
    </w:p>
    <w:p>
      <w:r>
        <w:t>Documento interno de producción.</w:t>
      </w:r>
    </w:p>
    <w:p>
      <w:pPr>
        <w:pStyle w:val="Heading2"/>
      </w:pPr>
      <w:r>
        <w:t>Base utilizada</w:t>
      </w:r>
    </w:p>
    <w:p>
      <w:r>
        <w:t>Texto y enfoque del prólogo del manuscrito base proporcionado para el proyecto. La edición de esta versión reorganiza y pule el tono para lectura editorial, sin introducir investigación externa.</w:t>
      </w:r>
    </w:p>
    <w:p>
      <w:pPr>
        <w:pStyle w:val="Heading2"/>
      </w:pPr>
      <w:r>
        <w:t>Decisiones</w:t>
      </w:r>
    </w:p>
    <w:p>
      <w:pPr>
        <w:pStyle w:val="ListBullet"/>
      </w:pPr>
      <w:r>
        <w:t>El prólogo se presenta como una pieza narrativa independiente.</w:t>
      </w:r>
    </w:p>
    <w:p>
      <w:pPr>
        <w:pStyle w:val="ListBullet"/>
      </w:pPr>
      <w:r>
        <w:t>Se refuerza la distinción entre relato, evidencia e interpretación.</w:t>
      </w:r>
    </w:p>
    <w:p>
      <w:pPr>
        <w:pStyle w:val="ListBullet"/>
      </w:pPr>
      <w:r>
        <w:t>Se mantiene el enfoque de curiosidad con rigor que define el proyecto.</w:t>
      </w:r>
    </w:p>
    <w:p>
      <w:pPr>
        <w:pStyle w:val="ListBullet"/>
      </w:pPr>
      <w:r>
        <w:t>Se añade una página visual de apertura y una página de transición.</w:t>
      </w:r>
    </w:p>
    <w:p>
      <w:pPr>
        <w:pStyle w:val="Heading2"/>
      </w:pPr>
      <w:r>
        <w:t>Pendientes</w:t>
      </w:r>
    </w:p>
    <w:p>
      <w:pPr>
        <w:pStyle w:val="ListBullet"/>
      </w:pPr>
      <w:r>
        <w:t>Revisión del autor.</w:t>
      </w:r>
    </w:p>
    <w:p>
      <w:pPr>
        <w:pStyle w:val="ListBullet"/>
      </w:pPr>
      <w:r>
        <w:t>Imagen definitiva de apertura.</w:t>
      </w:r>
    </w:p>
    <w:p>
      <w:pPr>
        <w:pStyle w:val="ListBullet"/>
      </w:pPr>
      <w:r>
        <w:t>Definición del recurso gráfico institucional.</w:t>
      </w:r>
    </w:p>
    <w:p>
      <w:pPr>
        <w:pStyle w:val="ListBullet"/>
      </w:pPr>
      <w:r>
        <w:t>Numeración definitiva tras consolidar el manuscrito.</w:t>
      </w:r>
    </w:p>
    <w:p>
      <w:pPr>
        <w:pStyle w:val="Heading2"/>
      </w:pPr>
      <w:r>
        <w:t>Próxima versión</w:t>
      </w:r>
    </w:p>
    <w:p>
      <w:r>
        <w:t>v0.3 — Introducción al Atlas.</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IIIC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