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60"/>
        </w:rPr>
        <w:t>ATLAS CRIPTOZOOLÓGICO</w:t>
      </w:r>
    </w:p>
    <w:p>
      <w:pPr>
        <w:jc w:val="center"/>
      </w:pPr>
      <w:r>
        <w:rPr>
          <w:b w:val="0"/>
          <w:i/>
          <w:sz w:val="30"/>
        </w:rPr>
        <w:t>Manuscrito Maestro</w:t>
      </w:r>
    </w:p>
    <w:p>
      <w:pPr>
        <w:jc w:val="center"/>
      </w:pPr>
      <w:r>
        <w:rPr>
          <w:b/>
          <w:i w:val="0"/>
          <w:sz w:val="28"/>
        </w:rPr>
        <w:t>VOLUMEN I — AMÉRICA</w:t>
      </w:r>
    </w:p>
    <w:p>
      <w:pPr>
        <w:jc w:val="center"/>
      </w:pPr>
      <w:r>
        <w:rPr>
          <w:b/>
          <w:i w:val="0"/>
          <w:sz w:val="36"/>
        </w:rPr>
        <w:t>v0.5</w:t>
      </w:r>
    </w:p>
    <w:p>
      <w:pPr>
        <w:jc w:val="center"/>
      </w:pPr>
      <w:r>
        <w:rPr>
          <w:b/>
          <w:i w:val="0"/>
          <w:sz w:val="44"/>
        </w:rPr>
        <w:t>MAPA GENERAL DEL CONTINENTE AMERICANO</w:t>
      </w:r>
    </w:p>
    <w:p>
      <w:r>
        <w:br w:type="page"/>
      </w:r>
    </w:p>
    <w:p>
      <w:pPr>
        <w:jc w:val="center"/>
      </w:pPr>
      <w:r>
        <w:rPr>
          <w:b/>
          <w:i w:val="0"/>
          <w:sz w:val="56"/>
        </w:rPr>
        <w:t>MAPA GENERAL DE AMÉRICA</w:t>
      </w:r>
    </w:p>
    <w:p>
      <w:pPr>
        <w:jc w:val="center"/>
      </w:pPr>
      <w:r>
        <w:rPr>
          <w:b w:val="0"/>
          <w:i/>
          <w:sz w:val="24"/>
        </w:rPr>
        <w:t>Panorama de las regiones y expedientes del Volumen I</w:t>
      </w:r>
    </w:p>
    <w:p>
      <w:pPr>
        <w:jc w:val="center"/>
      </w:pPr>
      <w:r>
        <w:rPr>
          <w:b/>
          <w:i w:val="0"/>
          <w:sz w:val="22"/>
        </w:rPr>
        <w:t>[ ESPACIO RESERVADO — MAPA ILUSTRADO DE AMÉRICA — DOBLE PÁGINA ]</w:t>
      </w:r>
    </w:p>
    <w:p>
      <w:pPr>
        <w:jc w:val="center"/>
      </w:pPr>
      <w:r>
        <w:t>____________________________________________________________</w:t>
      </w:r>
    </w:p>
    <w:p>
      <w:pPr>
        <w:jc w:val="center"/>
      </w:pPr>
      <w:r>
        <w:t>____________________________________________________________</w:t>
      </w:r>
    </w:p>
    <w:p>
      <w:pPr>
        <w:jc w:val="center"/>
      </w:pPr>
      <w:r>
        <w:t>____________________________________________________________</w:t>
      </w:r>
    </w:p>
    <w:p>
      <w:pPr>
        <w:jc w:val="center"/>
      </w:pPr>
      <w:r>
        <w:t>____________________________________________________________</w:t>
      </w:r>
    </w:p>
    <w:p>
      <w:pPr>
        <w:jc w:val="center"/>
      </w:pPr>
      <w:r>
        <w:t>____________________________________________________________</w:t>
      </w:r>
    </w:p>
    <w:p>
      <w:pPr>
        <w:jc w:val="center"/>
      </w:pPr>
      <w:r>
        <w:t>____________________________________________________________</w:t>
      </w:r>
    </w:p>
    <w:p>
      <w:pPr>
        <w:jc w:val="center"/>
      </w:pPr>
      <w:r>
        <w:t>____________________________________________________________</w:t>
      </w:r>
    </w:p>
    <w:p>
      <w:pPr>
        <w:jc w:val="center"/>
      </w:pPr>
      <w:r>
        <w:t>____________________________________________________________</w:t>
      </w:r>
    </w:p>
    <w:p>
      <w:pPr>
        <w:jc w:val="center"/>
      </w:pPr>
      <w:r>
        <w:t>____________________________________________________________</w:t>
      </w:r>
    </w:p>
    <w:p>
      <w:pPr>
        <w:jc w:val="center"/>
      </w:pPr>
      <w:r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t>Objetivo del mapa</w:t>
      </w:r>
    </w:p>
    <w:p>
      <w:r>
        <w:t>Esta pieza visual funcionará como puerta de entrada geográfica al Volumen I. Su propósito es situar al lector dentro del continente americano antes de comenzar los expedientes y mostrar, de manera rápida, la amplitud geográfica de los relatos reunidos en el Atlas.</w:t>
      </w:r>
    </w:p>
    <w:p>
      <w:pPr>
        <w:pStyle w:val="Heading2"/>
      </w:pPr>
      <w:r>
        <w:t>Alcance geográfico</w:t>
      </w:r>
    </w:p>
    <w:p>
      <w:r>
        <w:t>El manuscrito define el volumen como dedicado exclusivamente al continente americano y lo describe desde los bosques boreales de Canadá hasta las selvas amazónicas y las montañas de los Andes. También menciona bosques templados del Pacífico Norte, montañas, pantanos, desiertos y costas oceánicas como ambientes relevantes.</w:t>
      </w:r>
    </w:p>
    <w:p>
      <w:pPr>
        <w:pStyle w:val="Heading2"/>
      </w:pPr>
      <w:r>
        <w:t>Regiones visuales a destacar</w:t>
      </w:r>
    </w:p>
    <w:p>
      <w:pPr>
        <w:pStyle w:val="ListBullet"/>
      </w:pPr>
      <w:r>
        <w:t>Pacífico Norte y costa del Pacífico canadiense.</w:t>
      </w:r>
    </w:p>
    <w:p>
      <w:pPr>
        <w:pStyle w:val="ListBullet"/>
      </w:pPr>
      <w:r>
        <w:t>Canadá y bosques boreales.</w:t>
      </w:r>
    </w:p>
    <w:p>
      <w:pPr>
        <w:pStyle w:val="ListBullet"/>
      </w:pPr>
      <w:r>
        <w:t>Noroeste y oeste de Estados Unidos.</w:t>
      </w:r>
    </w:p>
    <w:p>
      <w:pPr>
        <w:pStyle w:val="ListBullet"/>
      </w:pPr>
      <w:r>
        <w:t>Montañas Rocosas y cordillera de las Cascadas.</w:t>
      </w:r>
    </w:p>
    <w:p>
      <w:pPr>
        <w:pStyle w:val="ListBullet"/>
      </w:pPr>
      <w:r>
        <w:t>Centroamérica.</w:t>
      </w:r>
    </w:p>
    <w:p>
      <w:pPr>
        <w:pStyle w:val="ListBullet"/>
      </w:pPr>
      <w:r>
        <w:t>Amazonía y norte de Sudamérica.</w:t>
      </w:r>
    </w:p>
    <w:p>
      <w:pPr>
        <w:pStyle w:val="ListBullet"/>
      </w:pPr>
      <w:r>
        <w:t>Andes.</w:t>
      </w:r>
    </w:p>
    <w:p>
      <w:pPr>
        <w:pStyle w:val="ListBullet"/>
      </w:pPr>
      <w:r>
        <w:t>Regiones costeras y oceánicas.</w:t>
      </w:r>
    </w:p>
    <w:p>
      <w:r>
        <w:br w:type="page"/>
      </w:r>
    </w:p>
    <w:p>
      <w:pPr>
        <w:pStyle w:val="Heading1"/>
      </w:pPr>
      <w:r>
        <w:t>Expedientes que deben aparecer en la leyenda</w:t>
      </w:r>
    </w:p>
    <w:p>
      <w:r>
        <w:t>El manuscrito base establece veinte expedientes principales. En esta versión no se asignan coordenadas precisas a aquellos casos para los que el documento no proporciona una localización concreta. El mapa definitivo deberá usar marcadores regionales o puntos de referencia únicamente cuando la documentación del expediente lo permita.</w:t>
      </w:r>
    </w:p>
    <w:p>
      <w:r>
        <w:rPr>
          <w:b/>
        </w:rPr>
        <w:t xml:space="preserve">AM-HOM-001 — Bigfoot (Sasquatch) </w:t>
      </w:r>
      <w:r>
        <w:t>(Humanoides)</w:t>
      </w:r>
    </w:p>
    <w:p>
      <w:r>
        <w:rPr>
          <w:b/>
        </w:rPr>
        <w:t xml:space="preserve">AM-HOM-002 — Yeti americano (Alma) </w:t>
      </w:r>
      <w:r>
        <w:t>(Humanoides)</w:t>
      </w:r>
    </w:p>
    <w:p>
      <w:r>
        <w:rPr>
          <w:b/>
        </w:rPr>
        <w:t xml:space="preserve">AM-HOM-003 — Mapinguarí </w:t>
      </w:r>
      <w:r>
        <w:t>(Humanoides)</w:t>
      </w:r>
    </w:p>
    <w:p>
      <w:r>
        <w:rPr>
          <w:b/>
        </w:rPr>
        <w:t xml:space="preserve">AM-HOM-004 — Skunk Ape </w:t>
      </w:r>
      <w:r>
        <w:t>(Humanoides)</w:t>
      </w:r>
    </w:p>
    <w:p>
      <w:r>
        <w:rPr>
          <w:b/>
        </w:rPr>
        <w:t xml:space="preserve">AM-DEP-001 — Chupacabras </w:t>
      </w:r>
      <w:r>
        <w:t>(Depredadores terrestres)</w:t>
      </w:r>
    </w:p>
    <w:p>
      <w:r>
        <w:rPr>
          <w:b/>
        </w:rPr>
        <w:t xml:space="preserve">AM-DEP-002 — Beast of Bray Road </w:t>
      </w:r>
      <w:r>
        <w:t>(Depredadores terrestres)</w:t>
      </w:r>
    </w:p>
    <w:p>
      <w:r>
        <w:rPr>
          <w:b/>
        </w:rPr>
        <w:t xml:space="preserve">AM-DEP-003 — Cadborosaurus terrestre (reportes costeros) </w:t>
      </w:r>
      <w:r>
        <w:t>(Depredadores terrestres)</w:t>
      </w:r>
    </w:p>
    <w:p>
      <w:r>
        <w:rPr>
          <w:b/>
        </w:rPr>
        <w:t xml:space="preserve">AM-LAC-001 — Ogopogo </w:t>
      </w:r>
      <w:r>
        <w:t>(Criaturas lacustres)</w:t>
      </w:r>
    </w:p>
    <w:p>
      <w:r>
        <w:rPr>
          <w:b/>
        </w:rPr>
        <w:t xml:space="preserve">AM-LAC-002 — Champ </w:t>
      </w:r>
      <w:r>
        <w:t>(Criaturas lacustres)</w:t>
      </w:r>
    </w:p>
    <w:p>
      <w:r>
        <w:rPr>
          <w:b/>
        </w:rPr>
        <w:t xml:space="preserve">AM-LAC-003 — Nahuelito </w:t>
      </w:r>
      <w:r>
        <w:t>(Criaturas lacustres)</w:t>
      </w:r>
    </w:p>
    <w:p>
      <w:r>
        <w:rPr>
          <w:b/>
        </w:rPr>
        <w:t xml:space="preserve">AM-VOL-001 — Mothman </w:t>
      </w:r>
      <w:r>
        <w:t>(Criaturas voladoras)</w:t>
      </w:r>
    </w:p>
    <w:p>
      <w:r>
        <w:rPr>
          <w:b/>
        </w:rPr>
        <w:t xml:space="preserve">AM-VOL-002 — Thunderbird </w:t>
      </w:r>
      <w:r>
        <w:t>(Criaturas voladoras)</w:t>
      </w:r>
    </w:p>
    <w:p>
      <w:r>
        <w:rPr>
          <w:b/>
        </w:rPr>
        <w:t xml:space="preserve">AM-MAR-001 — Lusca </w:t>
      </w:r>
      <w:r>
        <w:t>(Criaturas marinas)</w:t>
      </w:r>
    </w:p>
    <w:p>
      <w:r>
        <w:rPr>
          <w:b/>
        </w:rPr>
        <w:t xml:space="preserve">AM-MAR-002 — Caddy (Cadborosaurus) </w:t>
      </w:r>
      <w:r>
        <w:t>(Criaturas marinas)</w:t>
      </w:r>
    </w:p>
    <w:p>
      <w:r>
        <w:rPr>
          <w:b/>
        </w:rPr>
        <w:t xml:space="preserve">AM-ESP-001 — Jersey Devil </w:t>
      </w:r>
      <w:r>
        <w:t>(Casos especiales)</w:t>
      </w:r>
    </w:p>
    <w:p>
      <w:r>
        <w:rPr>
          <w:b/>
        </w:rPr>
        <w:t xml:space="preserve">AM-ESP-002 — Dover Demon </w:t>
      </w:r>
      <w:r>
        <w:t>(Casos especiales)</w:t>
      </w:r>
    </w:p>
    <w:p>
      <w:r>
        <w:rPr>
          <w:b/>
        </w:rPr>
        <w:t xml:space="preserve">AM-ESP-003 — Flatwoods Monster </w:t>
      </w:r>
      <w:r>
        <w:t>(Casos especiales)</w:t>
      </w:r>
    </w:p>
    <w:p>
      <w:r>
        <w:rPr>
          <w:b/>
        </w:rPr>
        <w:t xml:space="preserve">AM-ESP-004 — Fouke Monster </w:t>
      </w:r>
      <w:r>
        <w:t>(Casos especiales)</w:t>
      </w:r>
    </w:p>
    <w:p>
      <w:r>
        <w:rPr>
          <w:b/>
        </w:rPr>
        <w:t xml:space="preserve">AM-ESP-005 — Enfield Horror </w:t>
      </w:r>
      <w:r>
        <w:t>(Casos especiales)</w:t>
      </w:r>
    </w:p>
    <w:p>
      <w:r>
        <w:rPr>
          <w:b/>
        </w:rPr>
        <w:t xml:space="preserve">AM-ESP-006 — Goatman </w:t>
      </w:r>
      <w:r>
        <w:t>(Casos especiales)</w:t>
      </w:r>
    </w:p>
    <w:p>
      <w:r>
        <w:br w:type="page"/>
      </w:r>
    </w:p>
    <w:p>
      <w:pPr>
        <w:pStyle w:val="Heading1"/>
      </w:pPr>
      <w:r>
        <w:t>Leyenda del mapa</w:t>
      </w:r>
    </w:p>
    <w:p>
      <w:r>
        <w:t>La leyenda debe ser sencilla y legible. Se propone organizarla por categoría, conservando las cinco familias establecidas en el manuscrito:</w:t>
      </w:r>
    </w:p>
    <w:p>
      <w:pPr>
        <w:pStyle w:val="ListBullet"/>
      </w:pPr>
      <w:r>
        <w:t>Humanoides</w:t>
      </w:r>
    </w:p>
    <w:p>
      <w:pPr>
        <w:pStyle w:val="ListBullet"/>
      </w:pPr>
      <w:r>
        <w:t>Depredadores terrestres</w:t>
      </w:r>
    </w:p>
    <w:p>
      <w:pPr>
        <w:pStyle w:val="ListBullet"/>
      </w:pPr>
      <w:r>
        <w:t>Criaturas lacustres</w:t>
      </w:r>
    </w:p>
    <w:p>
      <w:pPr>
        <w:pStyle w:val="ListBullet"/>
      </w:pPr>
      <w:r>
        <w:t>Criaturas voladoras</w:t>
      </w:r>
    </w:p>
    <w:p>
      <w:pPr>
        <w:pStyle w:val="ListBullet"/>
      </w:pPr>
      <w:r>
        <w:t>Criaturas marinas</w:t>
      </w:r>
    </w:p>
    <w:p>
      <w:pPr>
        <w:pStyle w:val="ListBullet"/>
      </w:pPr>
      <w:r>
        <w:t>Casos especiales</w:t>
      </w:r>
    </w:p>
    <w:p>
      <w:r>
        <w:t>Cada categoría deberá contar con un símbolo propio. La paleta definitiva queda pendiente de aprobación del manual de estilo.</w:t>
      </w:r>
    </w:p>
    <w:p>
      <w:pPr>
        <w:jc w:val="center"/>
      </w:pPr>
      <w:r>
        <w:rPr>
          <w:b/>
          <w:i w:val="0"/>
          <w:sz w:val="22"/>
        </w:rPr>
        <w:t>[ ESPACIO RESERVADO — DISEÑO DE LEYENDA E ICONOGRAFÍA ]</w:t>
      </w:r>
    </w:p>
    <w:p>
      <w:pPr>
        <w:jc w:val="center"/>
      </w:pPr>
      <w:r>
        <w:t>____________________________________________________________</w:t>
      </w:r>
    </w:p>
    <w:p>
      <w:pPr>
        <w:jc w:val="center"/>
      </w:pPr>
      <w:r>
        <w:t>____________________________________________________________</w:t>
      </w:r>
    </w:p>
    <w:p>
      <w:pPr>
        <w:jc w:val="center"/>
      </w:pPr>
      <w:r>
        <w:t>____________________________________________________________</w:t>
      </w:r>
    </w:p>
    <w:p>
      <w:pPr>
        <w:jc w:val="center"/>
      </w:pPr>
      <w:r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t>Reglas para ubicar los expedientes</w:t>
      </w:r>
    </w:p>
    <w:p>
      <w:pPr>
        <w:pStyle w:val="ListBullet"/>
      </w:pPr>
      <w:r>
        <w:t>Usar ubicación puntual únicamente cuando el expediente o el manuscrito base proporcione una localización concreta.</w:t>
      </w:r>
    </w:p>
    <w:p>
      <w:pPr>
        <w:pStyle w:val="ListBullet"/>
      </w:pPr>
      <w:r>
        <w:t>Cuando exista una región amplia de reportes, representar una zona o área de concentración en lugar de un punto único.</w:t>
      </w:r>
    </w:p>
    <w:p>
      <w:pPr>
        <w:pStyle w:val="ListBullet"/>
      </w:pPr>
      <w:r>
        <w:t>No interpretar el mapa como prueba de existencia: los marcadores representan reportes, tradiciones o expedientes documentados.</w:t>
      </w:r>
    </w:p>
    <w:p>
      <w:pPr>
        <w:pStyle w:val="ListBullet"/>
      </w:pPr>
      <w:r>
        <w:t>Distinguir visualmente entre ubicación de origen del relato, zonas de reportes y zonas de investigación cuando la información lo permita.</w:t>
      </w:r>
    </w:p>
    <w:p>
      <w:pPr>
        <w:pStyle w:val="ListBullet"/>
      </w:pPr>
      <w:r>
        <w:t>Evitar inventar coordenadas o fronteras de distribución que no estén respaldadas por el contenido del manuscrito.</w:t>
      </w:r>
    </w:p>
    <w:p>
      <w:pPr>
        <w:pStyle w:val="ListBullet"/>
      </w:pPr>
      <w:r>
        <w:t>Incluir una nota visible: «Las ubicaciones representan áreas asociadas a reportes y tradiciones; no constituyen evidencia de existencia.»</w:t>
      </w:r>
    </w:p>
    <w:p>
      <w:pPr>
        <w:pStyle w:val="Heading2"/>
      </w:pPr>
      <w:r>
        <w:t>Ejemplo: Bigfoot</w:t>
      </w:r>
    </w:p>
    <w:p>
      <w:r>
        <w:t>El manuscrito asocia el expediente con Norteamérica y menciona específicamente la cordillera de las Cascadas, las Montañas Rocosas, la costa del Pacífico canadiense y diversos parques nacionales de Estados Unidos. Estas son referencias válidas para construir una zona visual de concentración del expediente, sin convertirlas en una frontera zoológica confirmada.</w:t>
      </w:r>
    </w:p>
    <w:p>
      <w:r>
        <w:br w:type="page"/>
      </w:r>
    </w:p>
    <w:p>
      <w:pPr>
        <w:pStyle w:val="Heading1"/>
      </w:pPr>
      <w:r>
        <w:t>Diseño de la doble página</w:t>
      </w:r>
    </w:p>
    <w:p>
      <w:pPr>
        <w:pStyle w:val="Heading2"/>
      </w:pPr>
      <w:r>
        <w:t>Página izquierda — Norteamérica</w:t>
      </w:r>
    </w:p>
    <w:p>
      <w:r>
        <w:t>Mapa principal, con énfasis visual en Canadá, Estados Unidos y las regiones del Pacífico Norte. Incluir marcadores regionales y leyenda.</w:t>
      </w:r>
    </w:p>
    <w:p>
      <w:pPr>
        <w:pStyle w:val="Heading2"/>
      </w:pPr>
      <w:r>
        <w:t>Página derecha — Centroamérica y Sudamérica</w:t>
      </w:r>
    </w:p>
    <w:p>
      <w:r>
        <w:t>Continuación del mapa, destacando las regiones mencionadas por el Atlas y los expedientes correspondientes. Mantener la misma escala visual y sistema de símbolos.</w:t>
      </w:r>
    </w:p>
    <w:p>
      <w:pPr>
        <w:pStyle w:val="Heading2"/>
      </w:pPr>
      <w:r>
        <w:t>Franja inferior</w:t>
      </w:r>
    </w:p>
    <w:p>
      <w:r>
        <w:t>Leyenda, nota metodológica y referencia al sistema IIIC.</w:t>
      </w:r>
    </w:p>
    <w:p>
      <w:pPr>
        <w:pStyle w:val="Heading2"/>
      </w:pPr>
      <w:r>
        <w:t>Margen de transición</w:t>
      </w:r>
    </w:p>
    <w:p>
      <w:r>
        <w:t>Pequeño texto: «Los expedientes del Atlas representan historias, reportes y tradiciones documentadas; su presencia en el mapa no implica confirmación científica.»</w:t>
      </w:r>
    </w:p>
    <w:p>
      <w:r>
        <w:br w:type="page"/>
      </w:r>
    </w:p>
    <w:p>
      <w:pPr>
        <w:pStyle w:val="Heading1"/>
      </w:pPr>
      <w:r>
        <w:t>Ficha técnica del recurso gráfico</w:t>
      </w:r>
    </w:p>
    <w:p>
      <w:r>
        <w:t>Tipo: Mapa editorial ilustrado</w:t>
      </w:r>
    </w:p>
    <w:p>
      <w:r>
        <w:t>Formato: Doble página horizontal</w:t>
      </w:r>
    </w:p>
    <w:p>
      <w:r>
        <w:t>Uso: Apertura geográfica del Volumen I</w:t>
      </w:r>
    </w:p>
    <w:p>
      <w:r>
        <w:t>Contenido: América + regiones + marcadores de expedientes + leyenda</w:t>
      </w:r>
    </w:p>
    <w:p>
      <w:r>
        <w:t>Estilo: Atlas documental / exploración científica</w:t>
      </w:r>
    </w:p>
    <w:p>
      <w:r>
        <w:t>Estado: Concepto aprobado — ilustración pendiente</w:t>
      </w:r>
    </w:p>
    <w:p>
      <w:r>
        <w:t>Fuente de contenido: Manuscrito base del Atlas</w:t>
      </w:r>
    </w:p>
    <w:p>
      <w:pPr>
        <w:jc w:val="center"/>
      </w:pPr>
      <w:r>
        <w:rPr>
          <w:b/>
          <w:i w:val="0"/>
          <w:sz w:val="22"/>
        </w:rPr>
        <w:t>[ ESPACIO RESERVADO — ÁREA DE BOCETO / WIREFRAME DEL MAPA ]</w:t>
      </w:r>
    </w:p>
    <w:p>
      <w:pPr>
        <w:jc w:val="center"/>
      </w:pPr>
      <w:r>
        <w:t>____________________________________________________________</w:t>
      </w:r>
    </w:p>
    <w:p>
      <w:pPr>
        <w:jc w:val="center"/>
      </w:pPr>
      <w:r>
        <w:t>____________________________________________________________</w:t>
      </w:r>
    </w:p>
    <w:p>
      <w:pPr>
        <w:jc w:val="center"/>
      </w:pPr>
      <w:r>
        <w:t>____________________________________________________________</w:t>
      </w:r>
    </w:p>
    <w:p>
      <w:pPr>
        <w:jc w:val="center"/>
      </w:pPr>
      <w:r>
        <w:t>____________________________________________________________</w:t>
      </w:r>
    </w:p>
    <w:p>
      <w:pPr>
        <w:jc w:val="center"/>
      </w:pPr>
      <w:r>
        <w:t>____________________________________________________________</w:t>
      </w:r>
    </w:p>
    <w:p>
      <w:pPr>
        <w:jc w:val="center"/>
      </w:pPr>
      <w:r>
        <w:t>____________________________________________________________</w:t>
      </w:r>
    </w:p>
    <w:p>
      <w:pPr>
        <w:jc w:val="center"/>
      </w:pPr>
      <w:r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t>Bitácora editorial — v0.5</w:t>
      </w:r>
    </w:p>
    <w:p>
      <w:r>
        <w:t>Documento interno de producción. No forma parte de la edición destinada al lector.</w:t>
      </w:r>
    </w:p>
    <w:p>
      <w:pPr>
        <w:pStyle w:val="Heading2"/>
      </w:pPr>
      <w:r>
        <w:t>Base documental</w:t>
      </w:r>
    </w:p>
    <w:p>
      <w:r>
        <w:t>El mapa se define a partir del alcance geográfico del Volumen I y de la lista de veinte expedientes principales establecida en el manuscrito base. El documento indica que el volumen cubre América y menciona regiones y ambientes como bosques boreales de Canadá, Pacífico Norte, Amazonía, Andes, montañas, pantanos, desiertos y costas oceánicas. La lista de expedientes y sus categorías también procede directamente del manuscrito.</w:t>
      </w:r>
    </w:p>
    <w:p>
      <w:pPr>
        <w:pStyle w:val="Heading2"/>
      </w:pPr>
      <w:r>
        <w:t>Decisiones editoriales</w:t>
      </w:r>
    </w:p>
    <w:p>
      <w:pPr>
        <w:pStyle w:val="ListBullet"/>
      </w:pPr>
      <w:r>
        <w:t>El mapa será un recurso de navegación, no una representación de distribución zoológica confirmada.</w:t>
      </w:r>
    </w:p>
    <w:p>
      <w:pPr>
        <w:pStyle w:val="ListBullet"/>
      </w:pPr>
      <w:r>
        <w:t>Se utilizarán categorías visuales para los veinte expedientes.</w:t>
      </w:r>
    </w:p>
    <w:p>
      <w:pPr>
        <w:pStyle w:val="ListBullet"/>
      </w:pPr>
      <w:r>
        <w:t>No se inventarán coordenadas.</w:t>
      </w:r>
    </w:p>
    <w:p>
      <w:pPr>
        <w:pStyle w:val="ListBullet"/>
      </w:pPr>
      <w:r>
        <w:t>Las ubicaciones concretas se completarán al trabajar cada expediente individual.</w:t>
      </w:r>
    </w:p>
    <w:p>
      <w:pPr>
        <w:pStyle w:val="ListBullet"/>
      </w:pPr>
      <w:r>
        <w:t>El mapa definitivo se generará después de aprobar el estilo visual del Atlas.</w:t>
      </w:r>
    </w:p>
    <w:p>
      <w:pPr>
        <w:pStyle w:val="Heading2"/>
      </w:pPr>
      <w:r>
        <w:t>Pendientes</w:t>
      </w:r>
    </w:p>
    <w:p>
      <w:pPr>
        <w:pStyle w:val="ListBullet"/>
      </w:pPr>
      <w:r>
        <w:t>Diseñar mapa definitivo.</w:t>
      </w:r>
    </w:p>
    <w:p>
      <w:pPr>
        <w:pStyle w:val="ListBullet"/>
      </w:pPr>
      <w:r>
        <w:t>Definir iconografía por categoría.</w:t>
      </w:r>
    </w:p>
    <w:p>
      <w:pPr>
        <w:pStyle w:val="ListBullet"/>
      </w:pPr>
      <w:r>
        <w:t>Definir paleta cromática.</w:t>
      </w:r>
    </w:p>
    <w:p>
      <w:pPr>
        <w:pStyle w:val="ListBullet"/>
      </w:pPr>
      <w:r>
        <w:t>Completar ubicaciones precisas a medida que se editen los expedientes.</w:t>
      </w:r>
    </w:p>
    <w:p>
      <w:pPr>
        <w:pStyle w:val="ListBullet"/>
      </w:pPr>
      <w:r>
        <w:t>Validar leyenda con el Manual de Estilo.</w:t>
      </w:r>
    </w:p>
    <w:p>
      <w:pPr>
        <w:pStyle w:val="Heading2"/>
      </w:pPr>
      <w:r>
        <w:t>Próxima versión</w:t>
      </w:r>
    </w:p>
    <w:p>
      <w:r>
        <w:t>v0.6 — Separador de sección: Humanoides.</w:t>
      </w:r>
    </w:p>
    <w:sectPr w:rsidR="00FC693F" w:rsidRPr="0006063C" w:rsidSect="00034616">
      <w:footerReference w:type="default" r:id="rId9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ATLAS CRIPTOZOOLÓGICO  •  IIIC  •  v0.5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