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Das menschliche Gehirn</w:t>
      </w:r>
    </w:p>
    <w:p>
      <w:pPr>
        <w:spacing w:before="120" w:after="240"/>
        <w:jc w:val="center"/>
      </w:pPr>
      <w:r>
        <w:rPr>
          <w:i/>
          <w:iCs/>
          <w:sz w:val="24"/>
          <w:szCs w:val="24"/>
        </w:rPr>
        <w:t xml:space="preserve">Eine umfassende Analyse der neuronalen Architektur, kognitiver Prozesse und außergewöhnlicher Fähigkeiten</w:t>
      </w:r>
    </w:p>
    <w:p>
      <w:r>
        <w:br w:type="page"/>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Einleitung</w:t>
      </w:r>
    </w:p>
    <w:p>
      <w:pPr>
        <w:spacing w:after="240"/>
      </w:pPr>
      <w:r>
        <w:t xml:space="preserve">Das menschliche Gehirn stellt eines der komplexesten und faszinierendsten Systeme im bekannten Universum dar. Mit etwa 86 Milliarden Neuronen und einer noch weitaus größeren Anzahl synaptischer Verbindungen ermöglicht es Bewusstsein, Denken, Kreativität und alle kognitiven Fähigkeiten, die den Menschen auszeichnen. Dieser Bericht untersucht die neuronale Architektur, die Funktionsweise des Gehirns im Vergleich zu künstlichen Intelligenzen, außergewöhnliche Phänomene wie das Savant-Syndrom und die bemerkenswerte Plastizität dieses Organs.</w:t>
      </w:r>
    </w:p>
    <w:p>
      <w:pPr>
        <w:spacing w:after="240"/>
      </w:pPr>
      <w:r>
        <w:t xml:space="preserve">Die Betrachtung erfolgt aus verschiedenen Perspektiven: von der mikroskopischen Ebene einzelner Neuronen über die Organisation in spezialisierten Arealen bis hin zu makroskopischen Phänomenen wie Sprache, Gedächtnis und außergewöhnlichen kognitiven Fähigkeiten. Dabei wird deutlich, dass das Gehirn trotz seines geringen Energieverbrauchs von nur etwa 20 Watt Leistungen vollbringt, die selbst die fortschrittlichsten künstlichen Intelligenzen bei Weitem übertreffen.</w:t>
      </w:r>
    </w:p>
    <w:p>
      <w:pPr>
        <w:pStyle w:val="Heading1"/>
      </w:pPr>
      <w:r>
        <w:t xml:space="preserve">2. Sprache, Tokens und neuronale Verarbeitung</w:t>
      </w:r>
    </w:p>
    <w:p>
      <w:pPr>
        <w:pStyle w:val="Heading2"/>
      </w:pPr>
      <w:r>
        <w:t xml:space="preserve">2.1 Der menschliche Wortschatz</w:t>
      </w:r>
    </w:p>
    <w:p>
      <w:pPr>
        <w:spacing w:after="240"/>
      </w:pPr>
      <w:r>
        <w:t xml:space="preserve">Die englische Sprache umfasst, je nach Definition, unterschiedliche Mengen an Wörtern. Das Oxford English Dictionary führt über 600.000 Wortformen auf, darunter auch historische und veraltete Begriffe seit dem 9. Jahrhundert. Der aktive, gegenwärtig verwendete Wortschatz wird auf etwa 171.476 Wörter geschätzt.</w:t>
      </w:r>
    </w:p>
    <w:p>
      <w:pPr>
        <w:spacing w:after="240"/>
      </w:pPr>
      <w:r>
        <w:t xml:space="preserve">Ein durchschnittlicher Muttersprachler kennt aktiv etwa 20.000 bis 35.000 Wörter. Bemerkenswert ist jedoch, dass bereits ein Vokabular von etwa 3.000 Wörtern ausreicht, um 95% eines durchschnittlichen Textes zu verstehen. Dies zeigt die Effizienz der menschlichen Sprachverarbeitung, die auf Häufigkeitsverteilungen und kontextuellem Verständnis basiert.</w:t>
      </w:r>
    </w:p>
    <w:p>
      <w:pPr>
        <w:pStyle w:val="Heading2"/>
      </w:pPr>
      <w:r>
        <w:t xml:space="preserve">2.2 Token-Systeme in künstlichen Intelligenzen</w:t>
      </w:r>
    </w:p>
    <w:p>
      <w:pPr>
        <w:spacing w:after="240"/>
      </w:pPr>
      <w:r>
        <w:t xml:space="preserve">Im Gegensatz zum menschlichen Gehirn, das Wörter als ganzheitliche Konzepte verarbeitet, nutzen Large Language Models (LLMs) ein Token-System. Ein Token kann ein ganzes Wort, ein Wortfragment, ein einzelner Buchstabe oder ein Sonderzeichen sein. Moderne LLMs wie GPT-4 oder Llama 3 verfügen über ein Vokabular von 32.000 bis 256.000 Tokens.</w:t>
      </w:r>
    </w:p>
    <w:p>
      <w:pPr>
        <w:spacing w:after="240"/>
      </w:pPr>
      <w:r>
        <w:t xml:space="preserve">Für die englische Sprache gilt die Faustregel: 1.000 Tokens entsprechen etwa 750 Wörtern. Ein durchschnittliches englisches Wort besteht somit aus etwa 1,3 bis 1,4 Tokens. Kurze, häufige Wörter wie 'the' oder 'is' werden als einzelner Token kodiert, während komplexe oder seltene Wörter in mehrere Fragmente zerlegt werden. Das Wort 'tokenization' könnte beispielsweise in 'token' und 'ization' aufgeteilt werden.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Sprache</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Tokens pro Wort</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Effizienz</w:t>
            </w:r>
          </w:p>
        </w:tc>
      </w:tr>
      <w:tr>
        <w:tc>
          <w:tcPr>
            <w:tcW w:type="dxa" w:w="3120"/>
            <w:tcBorders>
              <w:top w:val="single" w:color="CCCCCC" w:sz="1"/>
              <w:left w:val="single" w:color="CCCCCC" w:sz="1"/>
              <w:bottom w:val="single" w:color="CCCCCC" w:sz="1"/>
              <w:right w:val="single" w:color="CCCCCC" w:sz="1"/>
            </w:tcBorders>
          </w:tcPr>
          <w:p>
            <w:r>
              <w:t xml:space="preserve">Englisch</w:t>
            </w:r>
          </w:p>
        </w:tc>
        <w:tc>
          <w:tcPr>
            <w:tcW w:type="dxa" w:w="3120"/>
            <w:tcBorders>
              <w:top w:val="single" w:color="CCCCCC" w:sz="1"/>
              <w:left w:val="single" w:color="CCCCCC" w:sz="1"/>
              <w:bottom w:val="single" w:color="CCCCCC" w:sz="1"/>
              <w:right w:val="single" w:color="CCCCCC" w:sz="1"/>
            </w:tcBorders>
          </w:tcPr>
          <w:p>
            <w:pPr>
              <w:jc w:val="center"/>
            </w:pPr>
            <w:r>
              <w:t xml:space="preserve">~1,3</w:t>
            </w:r>
          </w:p>
        </w:tc>
        <w:tc>
          <w:tcPr>
            <w:tcW w:type="dxa" w:w="3120"/>
            <w:tcBorders>
              <w:top w:val="single" w:color="CCCCCC" w:sz="1"/>
              <w:left w:val="single" w:color="CCCCCC" w:sz="1"/>
              <w:bottom w:val="single" w:color="CCCCCC" w:sz="1"/>
              <w:right w:val="single" w:color="CCCCCC" w:sz="1"/>
            </w:tcBorders>
          </w:tcPr>
          <w:p>
            <w:r>
              <w:t xml:space="preserve">Höchste</w:t>
            </w:r>
          </w:p>
        </w:tc>
      </w:tr>
      <w:tr>
        <w:tc>
          <w:tcPr>
            <w:tcW w:type="dxa" w:w="3120"/>
            <w:tcBorders>
              <w:top w:val="single" w:color="CCCCCC" w:sz="1"/>
              <w:left w:val="single" w:color="CCCCCC" w:sz="1"/>
              <w:bottom w:val="single" w:color="CCCCCC" w:sz="1"/>
              <w:right w:val="single" w:color="CCCCCC" w:sz="1"/>
            </w:tcBorders>
          </w:tcPr>
          <w:p>
            <w:r>
              <w:t xml:space="preserve">Deutsch</w:t>
            </w:r>
          </w:p>
        </w:tc>
        <w:tc>
          <w:tcPr>
            <w:tcW w:type="dxa" w:w="3120"/>
            <w:tcBorders>
              <w:top w:val="single" w:color="CCCCCC" w:sz="1"/>
              <w:left w:val="single" w:color="CCCCCC" w:sz="1"/>
              <w:bottom w:val="single" w:color="CCCCCC" w:sz="1"/>
              <w:right w:val="single" w:color="CCCCCC" w:sz="1"/>
            </w:tcBorders>
          </w:tcPr>
          <w:p>
            <w:pPr>
              <w:jc w:val="center"/>
            </w:pPr>
            <w:r>
              <w:t xml:space="preserve">~2,1</w:t>
            </w:r>
          </w:p>
        </w:tc>
        <w:tc>
          <w:tcPr>
            <w:tcW w:type="dxa" w:w="3120"/>
            <w:tcBorders>
              <w:top w:val="single" w:color="CCCCCC" w:sz="1"/>
              <w:left w:val="single" w:color="CCCCCC" w:sz="1"/>
              <w:bottom w:val="single" w:color="CCCCCC" w:sz="1"/>
              <w:right w:val="single" w:color="CCCCCC" w:sz="1"/>
            </w:tcBorders>
          </w:tcPr>
          <w:p>
            <w:r>
              <w:t xml:space="preserve">Mittel</w:t>
            </w:r>
          </w:p>
        </w:tc>
      </w:tr>
      <w:tr>
        <w:tc>
          <w:tcPr>
            <w:tcW w:type="dxa" w:w="3120"/>
            <w:tcBorders>
              <w:top w:val="single" w:color="CCCCCC" w:sz="1"/>
              <w:left w:val="single" w:color="CCCCCC" w:sz="1"/>
              <w:bottom w:val="single" w:color="CCCCCC" w:sz="1"/>
              <w:right w:val="single" w:color="CCCCCC" w:sz="1"/>
            </w:tcBorders>
          </w:tcPr>
          <w:p>
            <w:r>
              <w:t xml:space="preserve">Französisch</w:t>
            </w:r>
          </w:p>
        </w:tc>
        <w:tc>
          <w:tcPr>
            <w:tcW w:type="dxa" w:w="3120"/>
            <w:tcBorders>
              <w:top w:val="single" w:color="CCCCCC" w:sz="1"/>
              <w:left w:val="single" w:color="CCCCCC" w:sz="1"/>
              <w:bottom w:val="single" w:color="CCCCCC" w:sz="1"/>
              <w:right w:val="single" w:color="CCCCCC" w:sz="1"/>
            </w:tcBorders>
          </w:tcPr>
          <w:p>
            <w:pPr>
              <w:jc w:val="center"/>
            </w:pPr>
            <w:r>
              <w:t xml:space="preserve">~2,0</w:t>
            </w:r>
          </w:p>
        </w:tc>
        <w:tc>
          <w:tcPr>
            <w:tcW w:type="dxa" w:w="3120"/>
            <w:tcBorders>
              <w:top w:val="single" w:color="CCCCCC" w:sz="1"/>
              <w:left w:val="single" w:color="CCCCCC" w:sz="1"/>
              <w:bottom w:val="single" w:color="CCCCCC" w:sz="1"/>
              <w:right w:val="single" w:color="CCCCCC" w:sz="1"/>
            </w:tcBorders>
          </w:tcPr>
          <w:p>
            <w:r>
              <w:t xml:space="preserve">Mittel</w:t>
            </w:r>
          </w:p>
        </w:tc>
      </w:tr>
      <w:tr>
        <w:tc>
          <w:tcPr>
            <w:tcW w:type="dxa" w:w="3120"/>
            <w:tcBorders>
              <w:top w:val="single" w:color="CCCCCC" w:sz="1"/>
              <w:left w:val="single" w:color="CCCCCC" w:sz="1"/>
              <w:bottom w:val="single" w:color="CCCCCC" w:sz="1"/>
              <w:right w:val="single" w:color="CCCCCC" w:sz="1"/>
            </w:tcBorders>
          </w:tcPr>
          <w:p>
            <w:r>
              <w:t xml:space="preserve">Chinesisch</w:t>
            </w:r>
          </w:p>
        </w:tc>
        <w:tc>
          <w:tcPr>
            <w:tcW w:type="dxa" w:w="3120"/>
            <w:tcBorders>
              <w:top w:val="single" w:color="CCCCCC" w:sz="1"/>
              <w:left w:val="single" w:color="CCCCCC" w:sz="1"/>
              <w:bottom w:val="single" w:color="CCCCCC" w:sz="1"/>
              <w:right w:val="single" w:color="CCCCCC" w:sz="1"/>
            </w:tcBorders>
          </w:tcPr>
          <w:p>
            <w:pPr>
              <w:jc w:val="center"/>
            </w:pPr>
            <w:r>
              <w:t xml:space="preserve">~2,5</w:t>
            </w:r>
          </w:p>
        </w:tc>
        <w:tc>
          <w:tcPr>
            <w:tcW w:type="dxa" w:w="3120"/>
            <w:tcBorders>
              <w:top w:val="single" w:color="CCCCCC" w:sz="1"/>
              <w:left w:val="single" w:color="CCCCCC" w:sz="1"/>
              <w:bottom w:val="single" w:color="CCCCCC" w:sz="1"/>
              <w:right w:val="single" w:color="CCCCCC" w:sz="1"/>
            </w:tcBorders>
          </w:tcPr>
          <w:p>
            <w:r>
              <w:t xml:space="preserve">Geringer</w:t>
            </w:r>
          </w:p>
        </w:tc>
      </w:tr>
    </w:tbl>
    <w:p>
      <w:pPr>
        <w:spacing w:before="240" w:after="360"/>
      </w:pPr>
      <w:r>
        <w:t xml:space="preserve"/>
      </w:r>
    </w:p>
    <w:p>
      <w:pPr>
        <w:pStyle w:val="Heading2"/>
      </w:pPr>
      <w:r>
        <w:t xml:space="preserve">2.3 Morphologie und Subword Tokenization</w:t>
      </w:r>
    </w:p>
    <w:p>
      <w:pPr>
        <w:spacing w:after="240"/>
      </w:pPr>
      <w:r>
        <w:t xml:space="preserve">Die linguistische Morphologie beschäftigt sich mit der Struktur von Wörtern und ihren Bestandteilen. Moderne KI-Modelle nutzen ein Verfahren namens Byte Pair Encoding (BPE), das diesem Prinzip folgt. Anstatt jede Wortform einzeln zu speichern (open, opened, opens, opening), erkennt das System wiederkehrende Bausteine wie Wortstämme und Endungen.</w:t>
      </w:r>
    </w:p>
    <w:p>
      <w:pPr>
        <w:spacing w:after="240"/>
      </w:pPr>
      <w:r>
        <w:t xml:space="preserve">Wenn man in der Linguistik nur Lemmata (Grundformen) zählt, reduziert sich die Anzahl der englischen Wörter von etwa 170.000 auf circa 50.000 bis 70.000. Ein KI-Modell muss dabei nur etwa 50.000 solcher Bausteine lernen, kann daraus aber Millionen von Wortkombinationen erzeugen. Der Vorteil liegt im Logik-Transfer: Wenn das System versteht, was die Endung '-er' bei 'open' bewirkt, versteht es automatisch Wörter wie 'player', 'walker' oder 'cleaner', selbst wenn es diese zuvor nie gesehen hat.</w:t>
      </w:r>
    </w:p>
    <w:p>
      <w:pPr>
        <w:spacing w:after="480"/>
      </w:pPr>
      <w:r>
        <w:t xml:space="preserve">Das Englische eignet sich besonders gut für diese Form der Zerlegung, da es als analytische Sprache mit relativ wenigen Standard-Endungen auskommt. Im Vergleich zum Deutschen mit seinen komplexen grammatikalischen Fällen oder dem Türkischen, wo ein einzelnes Wort einen ganzen Satz darstellen kann, ist Englisch deutlich effizienter zu tokenisieren. Dies ist einer der Gründe, warum englischsprachige KI-Modelle schneller und präziser trainiert werden können.</w:t>
      </w:r>
    </w:p>
    <w:p>
      <w:pPr>
        <w:pStyle w:val="Heading1"/>
      </w:pPr>
      <w:r>
        <w:t xml:space="preserve">3. Das Gehirn als biologisches Rechenzentrum</w:t>
      </w:r>
    </w:p>
    <w:p>
      <w:pPr>
        <w:pStyle w:val="Heading2"/>
      </w:pPr>
      <w:r>
        <w:t xml:space="preserve">3.1 Energieeffizienz und Leistungsfähigkeit</w:t>
      </w:r>
    </w:p>
    <w:p>
      <w:pPr>
        <w:spacing w:after="240"/>
      </w:pPr>
      <w:r>
        <w:t xml:space="preserve">Das menschliche Gehirn stellt das effizienteste Rechenzentrum der bekannten Welt dar. Während moderne KI-Systeme wie ChatGPT für ihr Training ganze Kraftwerke benötigen und im Betrieb erhebliche Energiemengen verbrauchen, funktioniert das menschliche Gehirn mit lediglich etwa 20 Watt – der Leistung einer schwachen Glühbirne.</w:t>
      </w:r>
    </w:p>
    <w:p>
      <w:pPr>
        <w:spacing w:after="240"/>
      </w:pPr>
      <w:r>
        <w:t xml:space="preserve">Diese außergewöhnliche Effizienz resultiert aus der fundamentalen Architektur des Gehirns. Im Gegensatz zu digitalen Computern, die zwischen Prozessor (CPU) und Speicher (RAM, Festplatte) unterscheiden, ist im Gehirn die Verbindung selbst die Information. Es gibt keine Trennung zwischen Verarbeitung und Speicherung – beide Funktionen sind in den synaptischen Verbindungen zwischen Neuronen integriert.</w:t>
      </w:r>
    </w:p>
    <w:p>
      <w:pPr>
        <w:pStyle w:val="Heading2"/>
      </w:pPr>
      <w:r>
        <w:t xml:space="preserve">3.2 Neuroplastizität und die Hebbsche Lernregel</w:t>
      </w:r>
    </w:p>
    <w:p>
      <w:pPr>
        <w:spacing w:after="240"/>
      </w:pPr>
      <w:r>
        <w:t xml:space="preserve">Das Lernen im Gehirn basiert auf dem Prinzip der Neuroplastizität, das durch die Hebbsche Lernregel beschrieben wird: 'Cells that fire together, wire together' – Zellen, die gleichzeitig aktiv sind, verbinden sich miteinander. Wenn bestimmte Neuronen wiederholt gemeinsam feuern, verstärkt sich ihre Verbindung. Dies geschieht durch:</w:t>
      </w:r>
    </w:p>
    <w:p>
      <w:pPr>
        <w:pStyle w:val="ListParagraph"/>
        <w:numPr>
          <w:ilvl w:val="0"/>
          <w:numId w:val="2"/>
        </w:numPr>
      </w:pPr>
      <w:r>
        <w:t xml:space="preserve">Das Wachstum neuer synaptischer Verbindungen</w:t>
      </w:r>
    </w:p>
    <w:p>
      <w:pPr>
        <w:pStyle w:val="ListParagraph"/>
        <w:numPr>
          <w:ilvl w:val="0"/>
          <w:numId w:val="2"/>
        </w:numPr>
      </w:pPr>
      <w:r>
        <w:t xml:space="preserve">Die Verdickung bestehender Synapsen</w:t>
      </w:r>
    </w:p>
    <w:p>
      <w:pPr>
        <w:pStyle w:val="ListParagraph"/>
        <w:numPr>
          <w:ilvl w:val="0"/>
          <w:numId w:val="2"/>
        </w:numPr>
      </w:pPr>
      <w:r>
        <w:t xml:space="preserve">Die Verstärkung der chemischen Signalübertragung</w:t>
      </w:r>
    </w:p>
    <w:p>
      <w:pPr>
        <w:pStyle w:val="ListParagraph"/>
        <w:numPr>
          <w:ilvl w:val="0"/>
          <w:numId w:val="2"/>
        </w:numPr>
      </w:pPr>
      <w:r>
        <w:t xml:space="preserve">Die Myelinisierung von Nervenbahnen für schnellere Signalleitung</w:t>
      </w:r>
    </w:p>
    <w:p>
      <w:pPr>
        <w:spacing w:before="240" w:after="240"/>
      </w:pPr>
      <w:r>
        <w:t xml:space="preserve"/>
      </w:r>
    </w:p>
    <w:p>
      <w:pPr>
        <w:spacing w:after="240"/>
      </w:pPr>
      <w:r>
        <w:t xml:space="preserve">Wenn eine Verbindung längere Zeit nicht genutzt wird, schwächt sie sich ab oder wird vollständig abgebaut. Dieser Prozess, bekannt als 'synaptic pruning', ist essentiell für die Effizienz des Gehirns. Das Gehirn ist kein statisches Organ, sondern verändert sich kontinuierlich durch Erfahrungen.</w:t>
      </w:r>
    </w:p>
    <w:p>
      <w:pPr>
        <w:pStyle w:val="Heading2"/>
      </w:pPr>
      <w:r>
        <w:t xml:space="preserve">3.3 Parallelverarbeitung und assoziatives Denken</w:t>
      </w:r>
    </w:p>
    <w:p>
      <w:pPr>
        <w:spacing w:after="240"/>
      </w:pPr>
      <w:r>
        <w:t xml:space="preserve">Ein fundamentaler Unterschied zwischen biologischen und künstlichen neuronalen Netzen liegt in der Art der Verarbeitung. Das menschliche Gehirn ist massiv parallel organisiert: Während eine moderne CPU Milliarden Operationen pro Sekunde sequenziell abarbeitet, feuern im Gehirn Millionen von Neuronen gleichzeitig, wobei jedes Neuron mit tausenden anderen verbunden ist.</w:t>
      </w:r>
    </w:p>
    <w:p>
      <w:pPr>
        <w:spacing w:after="240"/>
      </w:pPr>
      <w:r>
        <w:t xml:space="preserve">Diese Parallelarchitektur ermöglicht assoziatives Denken. Wenn Sie das Wort 'Apfel' hören, aktiviert Ihr Gehirn nicht nur die Repräsentation des Begriffs selbst, sondern gleichzeitig ein ganzes Netzwerk assoziierter Konzepte: Farbe (rot, grün), Geschmack (süß), Konsistenz (knackig), verwandte Objekte (Baum, Obst) und persönliche Erinnerungen. Diese simultane Aktivierung erfolgt automatisch und unbewusst innerhalb von Millisekunden.</w:t>
      </w:r>
    </w:p>
    <w:p>
      <w:pPr>
        <w:spacing w:after="240"/>
      </w:pPr>
      <w:r>
        <w:t xml:space="preserve">Künstliche neuronale Netze simulieren diesen Prozess, müssen dabei jedoch die Verbindungen nacheinander berechnen. Selbst wenn moderne Hardware-Parallelisierung eingesetzt wird, bleibt die Berechnung fundamentalsequenziell. Das biologische Gehirn hingegen ist inhärent parallel – jede synaptische Verbindung 'rechnet' gleichzeitig.</w:t>
      </w:r>
    </w:p>
    <w:p>
      <w:pPr>
        <w:pStyle w:val="Heading2"/>
      </w:pPr>
      <w:r>
        <w:t xml:space="preserve">3.4 Analoge vs. Digitale Verarbeitung</w:t>
      </w:r>
    </w:p>
    <w:p>
      <w:pPr>
        <w:spacing w:after="240"/>
      </w:pPr>
      <w:r>
        <w:t xml:space="preserve">Ein weiterer entscheidender Unterschied liegt in der Natur der Signale. Computer verwenden digitale Signale (0 oder 1), während Neuronen analoge Signale mit kontinuierlichen Abstufungen nutzen. Die Stärke eines synaptischen Signals kann graduell variieren, abhängig von:</w:t>
      </w:r>
    </w:p>
    <w:p>
      <w:pPr>
        <w:pStyle w:val="ListParagraph"/>
        <w:numPr>
          <w:ilvl w:val="0"/>
          <w:numId w:val="2"/>
        </w:numPr>
      </w:pPr>
      <w:r>
        <w:t xml:space="preserve">Der Menge der freigesetzten Neurotransmitter</w:t>
      </w:r>
    </w:p>
    <w:p>
      <w:pPr>
        <w:pStyle w:val="ListParagraph"/>
        <w:numPr>
          <w:ilvl w:val="0"/>
          <w:numId w:val="2"/>
        </w:numPr>
      </w:pPr>
      <w:r>
        <w:t xml:space="preserve">Der Anzahl und Sensitivität der Rezeptoren</w:t>
      </w:r>
    </w:p>
    <w:p>
      <w:pPr>
        <w:pStyle w:val="ListParagraph"/>
        <w:numPr>
          <w:ilvl w:val="0"/>
          <w:numId w:val="2"/>
        </w:numPr>
      </w:pPr>
      <w:r>
        <w:t xml:space="preserve">Dem zeitlichen Muster der Signale (temporale Kodierung)</w:t>
      </w:r>
    </w:p>
    <w:p>
      <w:pPr>
        <w:pStyle w:val="ListParagraph"/>
        <w:numPr>
          <w:ilvl w:val="0"/>
          <w:numId w:val="2"/>
        </w:numPr>
      </w:pPr>
      <w:r>
        <w:t xml:space="preserve">Der momentanen metabolischen Verfassung der Zelle</w:t>
      </w:r>
    </w:p>
    <w:p>
      <w:pPr>
        <w:spacing w:before="240" w:after="240"/>
      </w:pPr>
      <w:r>
        <w:t xml:space="preserve"/>
      </w:r>
    </w:p>
    <w:p>
      <w:pPr>
        <w:spacing w:after="480"/>
      </w:pPr>
      <w:r>
        <w:t xml:space="preserve">Diese analoge Verarbeitung erlaubt eine weitaus nuanciertere Informationskodierung als binäre Systeme. Ein einzelnes Neuron kann nicht nur 'feuern' oder 'nicht feuern', sondern mit verschiedenen Frequenzen, Mustern und Intensitäten feuern. Diese zusätzliche Dimension der Informationskodierung trägt erheblich zur Effizienz und Flexibilität des Gehirns bei.</w:t>
      </w:r>
    </w:p>
    <w:p>
      <w:pPr>
        <w:pStyle w:val="Heading1"/>
      </w:pPr>
      <w:r>
        <w:t xml:space="preserve">4. Der linkslaterale Temporallappen als Abstraktionszentrum</w:t>
      </w:r>
    </w:p>
    <w:p>
      <w:pPr>
        <w:pStyle w:val="Heading2"/>
      </w:pPr>
      <w:r>
        <w:t xml:space="preserve">4.1 Funktion und Bedeutung des lATL</w:t>
      </w:r>
    </w:p>
    <w:p>
      <w:pPr>
        <w:spacing w:after="240"/>
      </w:pPr>
      <w:r>
        <w:t xml:space="preserve">Der linkslaterale Temporallappen (lATL, left Anterior Temporal Lobe) fungiert als eine Art 'Abstraktions-Dimmer' des Gehirns. Dieses Areal ist verantwortlich für semantisches Wissen – das Verständnis von Bedeutungen, Kategorien und Konzepten. Der lATL bildet die Schnittstelle zwischen der rohen sensorischen Wahrnehmung und dem abstrakten, konzeptuellen Denken.</w:t>
      </w:r>
    </w:p>
    <w:p>
      <w:pPr>
        <w:spacing w:after="240"/>
      </w:pPr>
      <w:r>
        <w:t xml:space="preserve">Wenn wir einen Hund sehen, verarbeitet der visuelle Cortex zunächst Linien, Farben und Bewegungen. Diese Rohdaten werden dann im lATL zu dem Konzept 'Hund' abstrahiert. Der lATL sorgt dafür, dass wir nicht jeden Hund als völlig neues Objekt wahrnehmen, sondern ihn sofort der Kategorie 'Hund' zuordnen können, unabhängig von Größe, Farbe oder Rasse.</w:t>
      </w:r>
    </w:p>
    <w:p>
      <w:pPr>
        <w:pStyle w:val="Heading2"/>
      </w:pPr>
      <w:r>
        <w:t xml:space="preserve">4.2 Die 'Dimmer'-Metapher</w:t>
      </w:r>
    </w:p>
    <w:p>
      <w:pPr>
        <w:spacing w:after="240"/>
      </w:pPr>
      <w:r>
        <w:t xml:space="preserve">Die Metapher des Dimmers ist besonders treffend, da der lATL die Intensität der Abstraktion reguliert. Bei hoher Aktivität (Dimmer auf 'hell') sehen wir die Welt in stark vereinfachten Kategorien: Ein Stuhl ist ein Stuhl, ein Tisch ist ein Tisch. Bei reduzierter Aktivität (Dimmer auf 'dunkel') nehmen wir mehr Details wahr: die spezifische Maserung des Holzes, die exakte Form der Lehne, die Art der Schrauben.</w:t>
      </w:r>
    </w:p>
    <w:p>
      <w:pPr>
        <w:spacing w:after="240"/>
      </w:pPr>
      <w:r>
        <w:t xml:space="preserve">Diese Abstraktionsfähigkeit ist für den Alltag essenziell. Ohne sie wären wir von der schieren Menge an sensorischen Details überwältigt. Wir müssten jeden einzelnen Baum, jedes Auto, jedes Gesicht als völlig einzigartiges Objekt verarbeiten. Das Gehirn filtert etwa 99% der eingehenden Informationen weg, um nicht wahnsinnig zu werden. Der lATL ist der Hauptverantwortliche für diesen Filter.</w:t>
      </w:r>
    </w:p>
    <w:p>
      <w:pPr>
        <w:pStyle w:val="Heading2"/>
      </w:pPr>
      <w:r>
        <w:t xml:space="preserve">4.3 Pathologien und der heruntergedimmte lATL</w:t>
      </w:r>
    </w:p>
    <w:p>
      <w:pPr>
        <w:spacing w:after="240"/>
      </w:pPr>
      <w:r>
        <w:t xml:space="preserve">Bei Schädigungen oder Dämpfungen des lATL, etwa bei frontotemporaler Demenz oder dem Savant-Syndrom, wird der Abstraktionsfilter reduziert. Die Betroffenen sehen plötzlich Details, die andere übersehen:</w:t>
      </w:r>
    </w:p>
    <w:p>
      <w:pPr>
        <w:pStyle w:val="ListParagraph"/>
        <w:numPr>
          <w:ilvl w:val="0"/>
          <w:numId w:val="2"/>
        </w:numPr>
      </w:pPr>
      <w:r>
        <w:t xml:space="preserve">Savants mit fotografischem Gedächtnis können sich an jedes Detail einer Szene erinnern</w:t>
      </w:r>
    </w:p>
    <w:p>
      <w:pPr>
        <w:pStyle w:val="ListParagraph"/>
        <w:numPr>
          <w:ilvl w:val="0"/>
          <w:numId w:val="2"/>
        </w:numPr>
      </w:pPr>
      <w:r>
        <w:t xml:space="preserve">Künstlerische Savants zeichnen fotorealistisch, da sie jede Schattierung und Lichtreflexion wahrnehmen</w:t>
      </w:r>
    </w:p>
    <w:p>
      <w:pPr>
        <w:pStyle w:val="ListParagraph"/>
        <w:numPr>
          <w:ilvl w:val="0"/>
          <w:numId w:val="2"/>
        </w:numPr>
      </w:pPr>
      <w:r>
        <w:t xml:space="preserve">Mathematische Savants erkennen komplexe numerische Muster in Sekundenbruchteilen</w:t>
      </w:r>
    </w:p>
    <w:p>
      <w:pPr>
        <w:spacing w:before="240" w:after="240"/>
      </w:pPr>
      <w:r>
        <w:t xml:space="preserve"/>
      </w:r>
    </w:p>
    <w:p>
      <w:pPr>
        <w:spacing w:after="240"/>
      </w:pPr>
      <w:r>
        <w:t xml:space="preserve">Der Preis für diese außergewöhnlichen Fähigkeiten ist jedoch hoch: Oft geht die Fähigkeit zu sozialer Interaktion, Empathie oder konzeptuellem Denken verloren. Die Person ist gefangen in einer Welt extremer Details ohne die abstrakten Konzepte, die Kommunikation und soziales Verständnis ermöglichen.</w:t>
      </w:r>
    </w:p>
    <w:p>
      <w:pPr>
        <w:pStyle w:val="Heading2"/>
      </w:pPr>
      <w:r>
        <w:t xml:space="preserve">4.4 Das hypothetische Dimmer-Konzept</w:t>
      </w:r>
    </w:p>
    <w:p>
      <w:pPr>
        <w:spacing w:after="480"/>
      </w:pPr>
      <w:r>
        <w:t xml:space="preserve">Ein faszinierender Gedanke ist die Vorstellung eines kontrollierbaren 'Dimmers' für den lATL. Ein solches System könnte theoretisch ermöglichen, die Abstraktionsebene situationsabhängig anzupassen: Im Alltag (lATL auf 90%) würde man effizient funktionieren, Namen merken und Routineaufgaben erledigen. Beim Lernen oder bei kreativen Tätigkeiten (lATL auf 30%) könnte man den Filter öffnen, um tiefere Zusammenhänge und subtile Details zu erkennen. In Krisensituationen (lATL auf 100%) würde maximale Abstraktion und Logik dominieren, um Panik zu vermeiden. Die biologische Realität ist jedoch komplexer: Das Gehirn funktioniert wie ein Orchester – wenn man einen Teil dämpft, verändern sich die Schwingungsfrequenzen des gesamten Netzwerks auf unvorhersehbare Weise. Meditation und Biofeedback-Techniken stellen erste, wenn auch begrenzte, Versuche dar, diesen 'Dimmer' willentlich zu beeinflussen.</w:t>
      </w:r>
    </w:p>
    <w:p>
      <w:pPr>
        <w:pStyle w:val="Heading1"/>
      </w:pPr>
      <w:r>
        <w:t xml:space="preserve">5. Savant-Syndrom und neurologische Ablationen</w:t>
      </w:r>
    </w:p>
    <w:p>
      <w:pPr>
        <w:pStyle w:val="Heading2"/>
      </w:pPr>
      <w:r>
        <w:t xml:space="preserve">5.1 Der 'Kalender-Computer' nach Blitzschlag</w:t>
      </w:r>
    </w:p>
    <w:p>
      <w:pPr>
        <w:spacing w:after="240"/>
      </w:pPr>
      <w:r>
        <w:t xml:space="preserve">Tony Cicoria, ein orthopädischer Chirurg, wurde von einem Blitz getroffen, während er in einer Telefonzelle telefonierte. Nach einem Herzstillstand und einer Nahtod-Erfahrung entwickelte er innerhalb weniger Wochen ein unstillbares Verlangen, Klavier zu spielen und klassische Musik zu hören. Obwohl er zuvor kein musikalisches Talent gezeigt hatte, brachte er sich das Klavierspiel selbst bei und begann, komplexe Stücke zu komponieren, die er im Kopf 'hörte'.</w:t>
      </w:r>
    </w:p>
    <w:p>
      <w:pPr>
        <w:spacing w:after="240"/>
      </w:pPr>
      <w:r>
        <w:t xml:space="preserve">Dieser Fall illustriert, wie ein massiver elektrischer Schock die synaptische Gewichtung im gesamten Gehirn 'resetten' kann. Bei Cicoria wurden Areale für Musik im rechten Schläfenlappen offenbar so stark aktiviert oder enthemmt, dass sie seine gesamte Persönlichkeit zu dominieren begannen. Der Blitzschlag hatte versehentlich einen 'Schalter' umgelegt, der zuvor ruhende oder unterdrückte musikalische Schaltkreise aktivierte.</w:t>
      </w:r>
    </w:p>
    <w:p>
      <w:pPr>
        <w:pStyle w:val="Heading2"/>
      </w:pPr>
      <w:r>
        <w:t xml:space="preserve">5.2 Hyper-Realismus durch frontotemporale Demenz</w:t>
      </w:r>
    </w:p>
    <w:p>
      <w:pPr>
        <w:spacing w:after="240"/>
      </w:pPr>
      <w:r>
        <w:t xml:space="preserve">Die frontotemporale Demenz (FTD) ist einer der erkenntnisreichsten, wenn auch tragischsten Fälle neurologischer Veränderungen. Diese Erkrankung baut systematisch den Stirnlappen ab, der für Logik, Planung und kognitive Hemmung zuständig ist. Patienten, die ihr Leben lang künstlerisch unbegabt waren, entwickeln plötzlich ein phänomenales Talent für fotorealistisches Zeichnen, während ihre Sprachfähigkeit gleichzeitig verfällt.</w:t>
      </w:r>
    </w:p>
    <w:p>
      <w:pPr>
        <w:spacing w:after="240"/>
      </w:pPr>
      <w:r>
        <w:t xml:space="preserve">Der Mechanismus dahinter ist aufschlussreich: Wenn die linke Gehirnhälfte abstirbt, hört das Gehirn auf, die Welt zu 'benennen' und in Konzepte zu unterteilen. Anstatt das abstrakte Konzept 'Hund' zu sehen, nimmt das visuelle System plötzlich wieder jedes einzelne Haar, jede Schattierung und jede Lichtreflexion wahr. Die Unfähigkeit vieler Menschen, realistisch zu zeichnen, liegt daran, dass ihr Sprachzentrum sie zwingt, Symbole (einen Kreis für den Kopf, Striche für die Beine) statt der tatsächlichen visuellen Realität zu sehen.</w:t>
      </w:r>
    </w:p>
    <w:p>
      <w:pPr>
        <w:pStyle w:val="Heading2"/>
      </w:pPr>
      <w:r>
        <w:t xml:space="preserve">5.3 Patient HM und die Trennung der Gedächtnissysteme</w:t>
      </w:r>
    </w:p>
    <w:p>
      <w:pPr>
        <w:spacing w:after="240"/>
      </w:pPr>
      <w:r>
        <w:t xml:space="preserve">Patient H.M. ist vermutlich der berühmteste Fall der Neurowissenschaft. Um seine schwere Epilepsie zu behandeln, entfernte man ihm den Hippocampus auf beiden Seiten des Gehirns. Das Ergebnis war dramatisch: H.M. konnte keine neuen expliziten Erinnerungen mehr bilden – keine Namen, keine Ereignisse, keine Fakten. Jeden Tag begann für ihn wie der erste Tag nach seiner Operation.</w:t>
      </w:r>
    </w:p>
    <w:p>
      <w:pPr>
        <w:spacing w:after="240"/>
      </w:pPr>
      <w:r>
        <w:t xml:space="preserve">Das Erstaunliche: H.M. konnte neue motorische Fähigkeiten erlernen. Wissenschaftler brachten ihm bei, eine Figur durch einen Spiegel nachzuzeichnen – eine schwierige Aufgabe, die erhebliche Übung erfordert. Jeden Tag wurde er besser, obwohl er bei jeder Sitzung behauptete, diese Aufgabe noch nie zuvor gesehen zu haben. Sein Körper 'erinnerte' sich, auch wenn sein bewusstes Ich es nicht tat.</w:t>
      </w:r>
    </w:p>
    <w:p>
      <w:pPr>
        <w:spacing w:after="240"/>
      </w:pPr>
      <w:r>
        <w:t xml:space="preserve">Dieser Fall demonstrierte eindeutig, dass das Gehirn das deklarative Gedächtnis (Wissen, DASS) strikt vom prozeduralen Gedächtnis (Wissen, WIE) trennt. Das prozedurale Gedächtnis – Fähigkeiten wie Klavierspielen, Radfahren oder Tippen – liegt in den Basalganglien und dem Kleinhirn, nicht im Hippocampus. Diese Trennung erklärt auch, warum wir manche Dinge 'einfach können', ohne erklären zu können, wie wir es tun.</w:t>
      </w:r>
    </w:p>
    <w:p>
      <w:pPr>
        <w:pStyle w:val="Heading2"/>
      </w:pPr>
      <w:r>
        <w:t xml:space="preserve">5.4 Alonzo Clemons: Der Bildhauer aus dem Nichts</w:t>
      </w:r>
    </w:p>
    <w:p>
      <w:pPr>
        <w:spacing w:after="240"/>
      </w:pPr>
      <w:r>
        <w:t xml:space="preserve">Alonzo Clemons erlitt als Kleinkind eine schwere Hirnverletzung, die seine kognitive Entwicklung massiv einschränkte. Sein IQ liegt bei etwa 40, was bedeutet, dass er in den meisten kognitiven Bereichen erhebliche Einschränkungen aufweist. Doch in einem Bereich ist er außergewöhnlich: Er kann ein Tier für nur 5 Sekunden im Fernsehen sehen und es danach in weniger als 20 Minuten vollkommen anatomisch korrekt aus Ton nachbilden – inklusive jeder Muskelsträhne, jeder Sehne, jeder anatomischen Nuance.</w:t>
      </w:r>
    </w:p>
    <w:p>
      <w:pPr>
        <w:spacing w:after="240"/>
      </w:pPr>
      <w:r>
        <w:t xml:space="preserve">Sein Gehirn hat die Fähigkeit zur dreidimensionalen visuellen Extraktion perfektioniert. Da die höheren kognitiven Schichten fehlen, die normalerweise Abstraktion und Kategorisierung vornehmen, wandert die visuelle Information ohne Umwege direkt in die motorischen Schaltkreise seiner Hände. Er 'sieht' das Tier nicht als Konzept, sondern als exakte räumliche Konfiguration, die seine Hände dann nachbilden.</w:t>
      </w:r>
    </w:p>
    <w:p>
      <w:pPr>
        <w:pStyle w:val="Heading2"/>
      </w:pPr>
      <w:r>
        <w:t xml:space="preserve">5.5 Hyperthymestisches Syndrom: Das totale Gedächtnis</w:t>
      </w:r>
    </w:p>
    <w:p>
      <w:pPr>
        <w:spacing w:after="240"/>
      </w:pPr>
      <w:r>
        <w:t xml:space="preserve">Das hyperthymestische Syndrom ist keine klassische Ablation, sondern oft das Resultat veränderter Strukturen im Temporallappen. Menschen wie Jill Price können sich an jeden einzelnen Tag ihres Lebens ab dem 14. Lebensjahr erinnern. Nennen Sie ein beliebiges Datum von vor 20 Jahren, und sie können Ihnen sagen, was sie gegessen haben, wie das Wetter war und welche Nachrichten an diesem Tag liefen.</w:t>
      </w:r>
    </w:p>
    <w:p>
      <w:pPr>
        <w:spacing w:after="240"/>
      </w:pPr>
      <w:r>
        <w:t xml:space="preserve">Diese Fähigkeit klingt nach einem Segen, wird von den Betroffenen jedoch oft als Qual beschrieben. Ihr 'Dimmer' für Unwichtiges ist defekt. Sie können peinliche Momente, schmerzhafte Erfahrungen oder triviale Details nicht vergessen. Jeden Morgen werden sie nicht nur an ihre gestrigen Erlebnisse erinnert, sondern an alles, was jemals an einem 5. Januar passiert ist – ein ständiger Strom ungefilterter Erinnerungen.</w:t>
      </w:r>
    </w:p>
    <w:p>
      <w:pPr>
        <w:spacing w:after="240"/>
      </w:pPr>
      <w:r>
        <w:t xml:space="preserve">Dieser Fall lehrt uns etwas Fundamentales: Vergessen ist keine Schwäche des Gehirns, sondern eine aktive, extrem wichtige Leistung. Ein gesundes Gehirn 'löscht' kontinuierlich den Müll, um Platz für wichtige Muster und Assoziationen zu schaffen. Totale Erinnerung ist nicht vorteilhaft, sondern lähmend. Das Gehirn muss auswählen können, was bewahrenswert ist und was nicht.</w:t>
      </w:r>
    </w:p>
    <w:p>
      <w:pPr>
        <w:pStyle w:val="Heading2"/>
      </w:pPr>
      <w:r>
        <w:t xml:space="preserve">5.6 Hemisphärektomie: Das halbe Gehirn</w:t>
      </w:r>
    </w:p>
    <w:p>
      <w:pPr>
        <w:spacing w:after="480"/>
      </w:pPr>
      <w:r>
        <w:t xml:space="preserve">Bei der Hemisphärektomie wird Kindern mit schwerer, therapieresistenter Epilepsie eine komplette Gehirnhälfte entfernt oder funktionell vom Rest des Gehirns getrennt. Man würde erwarten, dass dies zu verheerenden Ausfällen führt – schließlich hat jede Hemisphäre spezifische Funktionen. Die linke Hemisphäre ist typischerweise für Sprache zuständig, die rechte für räumliche Verarbeitung. Die Realität ist jedoch verblüffend: Wenn die Operation früh genug durchgeführt wird, übernimmt die verbleibende Hälfte fast alle Funktionen der fehlenden Hälfte. Die Kinder wachsen oft völlig normal auf, gehen zur Schule, studieren und führen ein normales Leben. Die Plastizität des kindlichen Gehirns ist so gewaltig, dass eine Hälfte lernen kann, das 'Ganze' zu sein – solange der 'Dimmer' der Entwicklung noch auf maximale Flexibilität eingestellt ist. Dies funktioniert allerdings nur in der Kindheit, wenn die neuronalen Schaltkreise noch hochgradig formbar sind.</w:t>
      </w:r>
    </w:p>
    <w:p>
      <w:pPr>
        <w:pStyle w:val="Heading1"/>
      </w:pPr>
      <w:r>
        <w:t xml:space="preserve">6. Neuronale Architektur und Verteilung</w:t>
      </w:r>
    </w:p>
    <w:p>
      <w:pPr>
        <w:pStyle w:val="Heading2"/>
      </w:pPr>
      <w:r>
        <w:t xml:space="preserve">6.1 Gesamtzahl und Verteilung der Neuronen</w:t>
      </w:r>
    </w:p>
    <w:p>
      <w:pPr>
        <w:spacing w:after="240"/>
      </w:pPr>
      <w:r>
        <w:t xml:space="preserve">Das menschliche Gehirn enthält etwa 86 Milliarden Neuronen. Diese Zahl wurde mittels der modernen 'Isotropic Fractionator'-Methode von Suzana Herculano-Houzel bestimmt, die präziser ist als ältere Schätzmethoden. Die Verteilung dieser Neuronen ist jedoch überraschend ungleichmäßig.</w:t>
      </w:r>
    </w:p>
    <w:p>
      <w:pPr>
        <w:spacing w:after="360"/>
      </w:pPr>
      <w:r>
        <w:t xml:space="preserve">Von den 86 Milliarden Neuronen befinden sich nur etwa 16 bis 20 Milliarden im Cortex (der Großhirnrinde) – dem Teil des Gehirns, der mit Bewusstsein, Denken und komplexen kognitiven Funktionen assoziiert wird. Das kleine Kleinhirn (Cerebellum) hingegen beherbergt etwa 70 Milliarden Neuronen, also fast 80% aller Neuronen im Gehirn.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Hirnareal</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Hauptfunktion</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Neuronen (Mrd.)</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Besonderheit</w:t>
            </w:r>
          </w:p>
        </w:tc>
      </w:tr>
      <w:tr>
        <w:tc>
          <w:tcPr>
            <w:tcW w:type="dxa" w:w="2340"/>
            <w:tcBorders>
              <w:top w:val="single" w:color="CCCCCC" w:sz="1"/>
              <w:left w:val="single" w:color="CCCCCC" w:sz="1"/>
              <w:bottom w:val="single" w:color="CCCCCC" w:sz="1"/>
              <w:right w:val="single" w:color="CCCCCC" w:sz="1"/>
            </w:tcBorders>
          </w:tcPr>
          <w:p>
            <w:r>
              <w:t xml:space="preserve">Frontallappen</w:t>
            </w:r>
          </w:p>
        </w:tc>
        <w:tc>
          <w:tcPr>
            <w:tcW w:type="dxa" w:w="2340"/>
            <w:tcBorders>
              <w:top w:val="single" w:color="CCCCCC" w:sz="1"/>
              <w:left w:val="single" w:color="CCCCCC" w:sz="1"/>
              <w:bottom w:val="single" w:color="CCCCCC" w:sz="1"/>
              <w:right w:val="single" w:color="CCCCCC" w:sz="1"/>
            </w:tcBorders>
          </w:tcPr>
          <w:p>
            <w:r>
              <w:t xml:space="preserve">Planung, Logik, Motorik, Sprache</w:t>
            </w:r>
          </w:p>
        </w:tc>
        <w:tc>
          <w:tcPr>
            <w:tcW w:type="dxa" w:w="2340"/>
            <w:tcBorders>
              <w:top w:val="single" w:color="CCCCCC" w:sz="1"/>
              <w:left w:val="single" w:color="CCCCCC" w:sz="1"/>
              <w:bottom w:val="single" w:color="CCCCCC" w:sz="1"/>
              <w:right w:val="single" w:color="CCCCCC" w:sz="1"/>
            </w:tcBorders>
          </w:tcPr>
          <w:p>
            <w:pPr>
              <w:jc w:val="center"/>
            </w:pPr>
            <w:r>
              <w:t xml:space="preserve">2,5 - 3</w:t>
            </w:r>
          </w:p>
        </w:tc>
        <w:tc>
          <w:tcPr>
            <w:tcW w:type="dxa" w:w="2340"/>
            <w:tcBorders>
              <w:top w:val="single" w:color="CCCCCC" w:sz="1"/>
              <w:left w:val="single" w:color="CCCCCC" w:sz="1"/>
              <w:bottom w:val="single" w:color="CCCCCC" w:sz="1"/>
              <w:right w:val="single" w:color="CCCCCC" w:sz="1"/>
            </w:tcBorders>
          </w:tcPr>
          <w:p>
            <w:r>
              <w:rPr>
                <w:sz w:val="20"/>
                <w:szCs w:val="20"/>
              </w:rPr>
              <w:t xml:space="preserve">Stark mit Emotionen verbunden</w:t>
            </w:r>
          </w:p>
        </w:tc>
      </w:tr>
      <w:tr>
        <w:tc>
          <w:tcPr>
            <w:tcW w:type="dxa" w:w="2340"/>
            <w:tcBorders>
              <w:top w:val="single" w:color="CCCCCC" w:sz="1"/>
              <w:left w:val="single" w:color="CCCCCC" w:sz="1"/>
              <w:bottom w:val="single" w:color="CCCCCC" w:sz="1"/>
              <w:right w:val="single" w:color="CCCCCC" w:sz="1"/>
            </w:tcBorders>
          </w:tcPr>
          <w:p>
            <w:r>
              <w:t xml:space="preserve">Temporallappen</w:t>
            </w:r>
          </w:p>
        </w:tc>
        <w:tc>
          <w:tcPr>
            <w:tcW w:type="dxa" w:w="2340"/>
            <w:tcBorders>
              <w:top w:val="single" w:color="CCCCCC" w:sz="1"/>
              <w:left w:val="single" w:color="CCCCCC" w:sz="1"/>
              <w:bottom w:val="single" w:color="CCCCCC" w:sz="1"/>
              <w:right w:val="single" w:color="CCCCCC" w:sz="1"/>
            </w:tcBorders>
          </w:tcPr>
          <w:p>
            <w:r>
              <w:t xml:space="preserve">Hören, Gedächtnis, Semantik</w:t>
            </w:r>
          </w:p>
        </w:tc>
        <w:tc>
          <w:tcPr>
            <w:tcW w:type="dxa" w:w="2340"/>
            <w:tcBorders>
              <w:top w:val="single" w:color="CCCCCC" w:sz="1"/>
              <w:left w:val="single" w:color="CCCCCC" w:sz="1"/>
              <w:bottom w:val="single" w:color="CCCCCC" w:sz="1"/>
              <w:right w:val="single" w:color="CCCCCC" w:sz="1"/>
            </w:tcBorders>
          </w:tcPr>
          <w:p>
            <w:pPr>
              <w:jc w:val="center"/>
            </w:pPr>
            <w:r>
              <w:t xml:space="preserve">1,5 - 2</w:t>
            </w:r>
          </w:p>
        </w:tc>
        <w:tc>
          <w:tcPr>
            <w:tcW w:type="dxa" w:w="2340"/>
            <w:tcBorders>
              <w:top w:val="single" w:color="CCCCCC" w:sz="1"/>
              <w:left w:val="single" w:color="CCCCCC" w:sz="1"/>
              <w:bottom w:val="single" w:color="CCCCCC" w:sz="1"/>
              <w:right w:val="single" w:color="CCCCCC" w:sz="1"/>
            </w:tcBorders>
          </w:tcPr>
          <w:p>
            <w:r>
              <w:rPr>
                <w:sz w:val="20"/>
                <w:szCs w:val="20"/>
              </w:rPr>
              <w:t xml:space="preserve">Eng mit Sehen gekoppelt</w:t>
            </w:r>
          </w:p>
        </w:tc>
      </w:tr>
      <w:tr>
        <w:tc>
          <w:tcPr>
            <w:tcW w:type="dxa" w:w="2340"/>
            <w:tcBorders>
              <w:top w:val="single" w:color="CCCCCC" w:sz="1"/>
              <w:left w:val="single" w:color="CCCCCC" w:sz="1"/>
              <w:bottom w:val="single" w:color="CCCCCC" w:sz="1"/>
              <w:right w:val="single" w:color="CCCCCC" w:sz="1"/>
            </w:tcBorders>
          </w:tcPr>
          <w:p>
            <w:r>
              <w:t xml:space="preserve">Parietallappen</w:t>
            </w:r>
          </w:p>
        </w:tc>
        <w:tc>
          <w:tcPr>
            <w:tcW w:type="dxa" w:w="2340"/>
            <w:tcBorders>
              <w:top w:val="single" w:color="CCCCCC" w:sz="1"/>
              <w:left w:val="single" w:color="CCCCCC" w:sz="1"/>
              <w:bottom w:val="single" w:color="CCCCCC" w:sz="1"/>
              <w:right w:val="single" w:color="CCCCCC" w:sz="1"/>
            </w:tcBorders>
          </w:tcPr>
          <w:p>
            <w:r>
              <w:t xml:space="preserve">Räumliches Denken, Rechnen</w:t>
            </w:r>
          </w:p>
        </w:tc>
        <w:tc>
          <w:tcPr>
            <w:tcW w:type="dxa" w:w="2340"/>
            <w:tcBorders>
              <w:top w:val="single" w:color="CCCCCC" w:sz="1"/>
              <w:left w:val="single" w:color="CCCCCC" w:sz="1"/>
              <w:bottom w:val="single" w:color="CCCCCC" w:sz="1"/>
              <w:right w:val="single" w:color="CCCCCC" w:sz="1"/>
            </w:tcBorders>
          </w:tcPr>
          <w:p>
            <w:pPr>
              <w:jc w:val="center"/>
            </w:pPr>
            <w:r>
              <w:t xml:space="preserve">1,5 - 2</w:t>
            </w:r>
          </w:p>
        </w:tc>
        <w:tc>
          <w:tcPr>
            <w:tcW w:type="dxa" w:w="2340"/>
            <w:tcBorders>
              <w:top w:val="single" w:color="CCCCCC" w:sz="1"/>
              <w:left w:val="single" w:color="CCCCCC" w:sz="1"/>
              <w:bottom w:val="single" w:color="CCCCCC" w:sz="1"/>
              <w:right w:val="single" w:color="CCCCCC" w:sz="1"/>
            </w:tcBorders>
          </w:tcPr>
          <w:p>
            <w:r>
              <w:rPr>
                <w:sz w:val="20"/>
                <w:szCs w:val="20"/>
              </w:rPr>
              <w:t xml:space="preserve">Schnittstelle aller Sinne</w:t>
            </w:r>
          </w:p>
        </w:tc>
      </w:tr>
      <w:tr>
        <w:tc>
          <w:tcPr>
            <w:tcW w:type="dxa" w:w="2340"/>
            <w:tcBorders>
              <w:top w:val="single" w:color="CCCCCC" w:sz="1"/>
              <w:left w:val="single" w:color="CCCCCC" w:sz="1"/>
              <w:bottom w:val="single" w:color="CCCCCC" w:sz="1"/>
              <w:right w:val="single" w:color="CCCCCC" w:sz="1"/>
            </w:tcBorders>
          </w:tcPr>
          <w:p>
            <w:r>
              <w:t xml:space="preserve">Okzipitallappen</w:t>
            </w:r>
          </w:p>
        </w:tc>
        <w:tc>
          <w:tcPr>
            <w:tcW w:type="dxa" w:w="2340"/>
            <w:tcBorders>
              <w:top w:val="single" w:color="CCCCCC" w:sz="1"/>
              <w:left w:val="single" w:color="CCCCCC" w:sz="1"/>
              <w:bottom w:val="single" w:color="CCCCCC" w:sz="1"/>
              <w:right w:val="single" w:color="CCCCCC" w:sz="1"/>
            </w:tcBorders>
          </w:tcPr>
          <w:p>
            <w:r>
              <w:t xml:space="preserve">Visuelle Verarbeitung</w:t>
            </w:r>
          </w:p>
        </w:tc>
        <w:tc>
          <w:tcPr>
            <w:tcW w:type="dxa" w:w="2340"/>
            <w:tcBorders>
              <w:top w:val="single" w:color="CCCCCC" w:sz="1"/>
              <w:left w:val="single" w:color="CCCCCC" w:sz="1"/>
              <w:bottom w:val="single" w:color="CCCCCC" w:sz="1"/>
              <w:right w:val="single" w:color="CCCCCC" w:sz="1"/>
            </w:tcBorders>
          </w:tcPr>
          <w:p>
            <w:pPr>
              <w:jc w:val="center"/>
            </w:pPr>
            <w:r>
              <w:t xml:space="preserve">~1</w:t>
            </w:r>
          </w:p>
        </w:tc>
        <w:tc>
          <w:tcPr>
            <w:tcW w:type="dxa" w:w="2340"/>
            <w:tcBorders>
              <w:top w:val="single" w:color="CCCCCC" w:sz="1"/>
              <w:left w:val="single" w:color="CCCCCC" w:sz="1"/>
              <w:bottom w:val="single" w:color="CCCCCC" w:sz="1"/>
              <w:right w:val="single" w:color="CCCCCC" w:sz="1"/>
            </w:tcBorders>
          </w:tcPr>
          <w:p>
            <w:r>
              <w:rPr>
                <w:sz w:val="20"/>
                <w:szCs w:val="20"/>
              </w:rPr>
              <w:t xml:space="preserve">Hohe Neuronendichte</w:t>
            </w:r>
          </w:p>
        </w:tc>
      </w:tr>
      <w:tr>
        <w:tc>
          <w:tcPr>
            <w:tcW w:type="dxa" w:w="2340"/>
            <w:tcBorders>
              <w:top w:val="single" w:color="CCCCCC" w:sz="1"/>
              <w:left w:val="single" w:color="CCCCCC" w:sz="1"/>
              <w:bottom w:val="single" w:color="CCCCCC" w:sz="1"/>
              <w:right w:val="single" w:color="CCCCCC" w:sz="1"/>
            </w:tcBorders>
          </w:tcPr>
          <w:p>
            <w:r>
              <w:t xml:space="preserve">Insula</w:t>
            </w:r>
          </w:p>
        </w:tc>
        <w:tc>
          <w:tcPr>
            <w:tcW w:type="dxa" w:w="2340"/>
            <w:tcBorders>
              <w:top w:val="single" w:color="CCCCCC" w:sz="1"/>
              <w:left w:val="single" w:color="CCCCCC" w:sz="1"/>
              <w:bottom w:val="single" w:color="CCCCCC" w:sz="1"/>
              <w:right w:val="single" w:color="CCCCCC" w:sz="1"/>
            </w:tcBorders>
          </w:tcPr>
          <w:p>
            <w:r>
              <w:t xml:space="preserve">Ekel, Schmerz, Interozeption</w:t>
            </w:r>
          </w:p>
        </w:tc>
        <w:tc>
          <w:tcPr>
            <w:tcW w:type="dxa" w:w="2340"/>
            <w:tcBorders>
              <w:top w:val="single" w:color="CCCCCC" w:sz="1"/>
              <w:left w:val="single" w:color="CCCCCC" w:sz="1"/>
              <w:bottom w:val="single" w:color="CCCCCC" w:sz="1"/>
              <w:right w:val="single" w:color="CCCCCC" w:sz="1"/>
            </w:tcBorders>
          </w:tcPr>
          <w:p>
            <w:pPr>
              <w:jc w:val="center"/>
            </w:pPr>
            <w:r>
              <w:t xml:space="preserve">~0,2</w:t>
            </w:r>
          </w:p>
        </w:tc>
        <w:tc>
          <w:tcPr>
            <w:tcW w:type="dxa" w:w="2340"/>
            <w:tcBorders>
              <w:top w:val="single" w:color="CCCCCC" w:sz="1"/>
              <w:left w:val="single" w:color="CCCCCC" w:sz="1"/>
              <w:bottom w:val="single" w:color="CCCCCC" w:sz="1"/>
              <w:right w:val="single" w:color="CCCCCC" w:sz="1"/>
            </w:tcBorders>
          </w:tcPr>
          <w:p>
            <w:r>
              <w:rPr>
                <w:sz w:val="20"/>
                <w:szCs w:val="20"/>
              </w:rPr>
              <w:t xml:space="preserve">Emotion mit Körperzustand</w:t>
            </w:r>
          </w:p>
        </w:tc>
      </w:tr>
      <w:tr>
        <w:tc>
          <w:tcPr>
            <w:tcW w:type="dxa" w:w="2340"/>
            <w:tcBorders>
              <w:top w:val="single" w:color="CCCCCC" w:sz="1"/>
              <w:left w:val="single" w:color="CCCCCC" w:sz="1"/>
              <w:bottom w:val="single" w:color="CCCCCC" w:sz="1"/>
              <w:right w:val="single" w:color="CCCCCC" w:sz="1"/>
            </w:tcBorders>
          </w:tcPr>
          <w:p>
            <w:r>
              <w:rPr>
                <w:b/>
                <w:bCs/>
              </w:rPr>
              <w:t xml:space="preserve">Kleinhirn</w:t>
            </w:r>
          </w:p>
        </w:tc>
        <w:tc>
          <w:tcPr>
            <w:tcW w:type="dxa" w:w="2340"/>
            <w:tcBorders>
              <w:top w:val="single" w:color="CCCCCC" w:sz="1"/>
              <w:left w:val="single" w:color="CCCCCC" w:sz="1"/>
              <w:bottom w:val="single" w:color="CCCCCC" w:sz="1"/>
              <w:right w:val="single" w:color="CCCCCC" w:sz="1"/>
            </w:tcBorders>
          </w:tcPr>
          <w:p>
            <w:r>
              <w:rPr>
                <w:b/>
                <w:bCs/>
              </w:rPr>
              <w:t xml:space="preserve">Feinmotorik, Prozeduren</w:t>
            </w:r>
          </w:p>
        </w:tc>
        <w:tc>
          <w:tcPr>
            <w:tcW w:type="dxa" w:w="2340"/>
            <w:tcBorders>
              <w:top w:val="single" w:color="CCCCCC" w:sz="1"/>
              <w:left w:val="single" w:color="CCCCCC" w:sz="1"/>
              <w:bottom w:val="single" w:color="CCCCCC" w:sz="1"/>
              <w:right w:val="single" w:color="CCCCCC" w:sz="1"/>
            </w:tcBorders>
            <w:shd w:fill="FFF2CC" w:val="clear"/>
          </w:tcPr>
          <w:p>
            <w:pPr>
              <w:jc w:val="center"/>
            </w:pPr>
            <w:r>
              <w:rPr>
                <w:b/>
                <w:bCs/>
              </w:rPr>
              <w:t xml:space="preserve">~70</w:t>
            </w:r>
          </w:p>
        </w:tc>
        <w:tc>
          <w:tcPr>
            <w:tcW w:type="dxa" w:w="2340"/>
            <w:tcBorders>
              <w:top w:val="single" w:color="CCCCCC" w:sz="1"/>
              <w:left w:val="single" w:color="CCCCCC" w:sz="1"/>
              <w:bottom w:val="single" w:color="CCCCCC" w:sz="1"/>
              <w:right w:val="single" w:color="CCCCCC" w:sz="1"/>
            </w:tcBorders>
          </w:tcPr>
          <w:p>
            <w:r>
              <w:rPr>
                <w:b/>
                <w:bCs/>
                <w:sz w:val="20"/>
                <w:szCs w:val="20"/>
              </w:rPr>
              <w:t xml:space="preserve">80% aller Neuronen!</w:t>
            </w:r>
          </w:p>
        </w:tc>
      </w:tr>
    </w:tbl>
    <w:p>
      <w:pPr>
        <w:spacing w:before="360" w:after="240"/>
      </w:pPr>
      <w:r>
        <w:t xml:space="preserve"/>
      </w:r>
    </w:p>
    <w:p>
      <w:pPr>
        <w:pStyle w:val="Heading2"/>
      </w:pPr>
      <w:r>
        <w:t xml:space="preserve">6.2 Das Kleinhirn: Der verborgene Prozessor</w:t>
      </w:r>
    </w:p>
    <w:p>
      <w:pPr>
        <w:spacing w:after="240"/>
      </w:pPr>
      <w:r>
        <w:t xml:space="preserve">Das Kleinhirn ist der wahre 'Prozessor' des Gehirns. Obwohl es nur etwa 10% des Gehirnvolumens ausmacht, beherbergt es 80% aller Neuronen. Diese enorme neuronale Dichte erklärt sich durch die spezielle Architektur des Kleinhirns: Die Purkinje-Zellen sind extrem dicht gepackt und hochgradig organisiert, ähnlich einem Kristallgitter.</w:t>
      </w:r>
    </w:p>
    <w:p>
      <w:pPr>
        <w:spacing w:after="240"/>
      </w:pPr>
      <w:r>
        <w:t xml:space="preserve">Das Kleinhirn ist verantwortlich für prozedurales Wissen – das 'Wissen, wie man etwas tut'. Klavierspielen, Laufen, Radfahren, Tippen – all diese Fähigkeiten werden im Kleinhirn gespeichert. Einmal erlernt, laufen sie größtenteils automatisch ab, ohne bewusste Kontrolle. Deshalb können wir tippen, ohne über die Position jeder Taste nachzudenken, oder Auto fahren, während wir uns unterhalten.</w:t>
      </w:r>
    </w:p>
    <w:p>
      <w:pPr>
        <w:spacing w:after="240"/>
      </w:pPr>
      <w:r>
        <w:t xml:space="preserve">Beim Savant-Syndrom ist oft das Zusammenspiel zwischen dem Cortex (bewusstes Denken) und dem Kleinhirn (automatische Prozesse) gestört. Die enormen Rechenkapazitäten des Kleinhirns werden nicht mehr durch die abstrahierenden, hemmenden Signale des Frontallappens eingeschränkt. Das Resultat sind außergewöhnliche motorische oder rechnerische Fähigkeiten, die direkt aus diesem massiven neuronalen 'Rechenzentrum' stammen.</w:t>
      </w:r>
    </w:p>
    <w:p>
      <w:pPr>
        <w:pStyle w:val="Heading2"/>
      </w:pPr>
      <w:r>
        <w:t xml:space="preserve">6.3 Schichtstruktur und neuronale Dichte</w:t>
      </w:r>
    </w:p>
    <w:p>
      <w:pPr>
        <w:spacing w:after="240"/>
      </w:pPr>
      <w:r>
        <w:t xml:space="preserve">Die Neuronen im Cortex sind in sechs Schichten (Laminae) organisiert. Diese Schichtung ist nicht einheitlich – verschiedene Hirnareale haben unterschiedliche Schichtdicken und Neuronendichten. Im visuellen Cortex (Okzipitallappen) sind die Neuronen beispielsweise kleiner und dichter gepackt als im motorischen Cortex des Frontallappens.</w:t>
      </w:r>
    </w:p>
    <w:p>
      <w:pPr>
        <w:spacing w:after="240"/>
      </w:pPr>
      <w:r>
        <w:t xml:space="preserve">Die Schicht IV ist besonders ausgeprägt in sensorischen Arealen, da hier die meisten Eingangssignale von den Sinnesorganen ankommen. In motorischen Arealen ist hingegen Schicht V stärker entwickelt, da von hier die Ausgangssignale zu den Muskeln gesendet werden. Diese mikroskopische Architektur spiegelt direkt die Funktion des jeweiligen Areals wider.</w:t>
      </w:r>
    </w:p>
    <w:p>
      <w:pPr>
        <w:pStyle w:val="Heading2"/>
      </w:pPr>
      <w:r>
        <w:t xml:space="preserve">6.4 Assoziationsfasern und Überlappungen</w:t>
      </w:r>
    </w:p>
    <w:p>
      <w:pPr>
        <w:spacing w:after="480"/>
      </w:pPr>
      <w:r>
        <w:t xml:space="preserve">Es gibt kaum isolierte Areale im Gehirn. Extensive Assoziationsfasern verbinden verschiedene Regionen miteinander. Das Wernicke-Areal für Sprachverständnis liegt beispielsweise an der Grenze zwischen Temporal- und Parietallappen – genau dort, wo auditive Verarbeitung (Klang) auf semantisches Wissen (Bedeutung) trifft. Diese strategische Position ermöglicht die Integration von Lautmustern mit konzeptueller Bedeutung. Ähnlich liegt die Inselrinde tief im Inneren des Gehirns und verbindet emotionale Verarbeitung mit interozeptiven Signalen aus dem Körper. Sie ist der Grund, warum wir Ekel als körperliches Gefühl in der Magengrube spüren oder warum Angst unseren Herzschlag beschleunigt. Die massive Vernetzung des Gehirns bedeutet, dass selbst 'spezialisierte' Areale ständig mit vielen anderen Regionen kommunizieren und deren Aktivität beeinflussen.</w:t>
      </w:r>
    </w:p>
    <w:p>
      <w:pPr>
        <w:pStyle w:val="Heading1"/>
      </w:pPr>
      <w:r>
        <w:t xml:space="preserve">7. Neuronale Effizienz und Synaptische Dichte</w:t>
      </w:r>
    </w:p>
    <w:p>
      <w:pPr>
        <w:pStyle w:val="Heading2"/>
      </w:pPr>
      <w:r>
        <w:t xml:space="preserve">7.1 Warum Neuronenzahl nicht alles ist</w:t>
      </w:r>
    </w:p>
    <w:p>
      <w:pPr>
        <w:spacing w:after="240"/>
      </w:pPr>
      <w:r>
        <w:t xml:space="preserve">Interessanterweise korreliert Intelligenz oder außergewöhnliche kognitive Fähigkeiten nicht direkt mit der bloßen Anzahl der Neuronen. Elefanten und Wale haben deutlich mehr Neuronen als Menschen, sind aber nicht intelligenter. Entscheidend sind vielmehr:</w:t>
      </w:r>
    </w:p>
    <w:p>
      <w:pPr>
        <w:pStyle w:val="ListParagraph"/>
        <w:numPr>
          <w:ilvl w:val="0"/>
          <w:numId w:val="2"/>
        </w:numPr>
      </w:pPr>
      <w:r>
        <w:t xml:space="preserve">Synaptische Dichte: Wie viele Verbindungen jedes Neuron hat</w:t>
      </w:r>
    </w:p>
    <w:p>
      <w:pPr>
        <w:pStyle w:val="ListParagraph"/>
        <w:numPr>
          <w:ilvl w:val="0"/>
          <w:numId w:val="2"/>
        </w:numPr>
      </w:pPr>
      <w:r>
        <w:t xml:space="preserve">Myelinisierung: Wie gut die Nervenbahnen isoliert sind für schnelle Signalleitung</w:t>
      </w:r>
    </w:p>
    <w:p>
      <w:pPr>
        <w:pStyle w:val="ListParagraph"/>
        <w:numPr>
          <w:ilvl w:val="0"/>
          <w:numId w:val="2"/>
        </w:numPr>
      </w:pPr>
      <w:r>
        <w:t xml:space="preserve">Konnektivität: Welche Areale miteinander verbunden sind</w:t>
      </w:r>
    </w:p>
    <w:p>
      <w:pPr>
        <w:pStyle w:val="ListParagraph"/>
        <w:numPr>
          <w:ilvl w:val="0"/>
          <w:numId w:val="2"/>
        </w:numPr>
      </w:pPr>
      <w:r>
        <w:t xml:space="preserve">Hemmungsmechanismen: Wie gut das Gehirn irrelevante Signale unterdrücken kann</w:t>
      </w:r>
    </w:p>
    <w:p>
      <w:pPr>
        <w:spacing w:before="240" w:after="240"/>
      </w:pPr>
      <w:r>
        <w:t xml:space="preserve"/>
      </w:r>
    </w:p>
    <w:p>
      <w:pPr>
        <w:spacing w:after="240"/>
      </w:pPr>
      <w:r>
        <w:t xml:space="preserve">Ein durchschnittliches Neuron im menschlichen Cortex hat etwa 7.000 synaptische Verbindungen zu anderen Neuronen. Bei 16 Milliarden Cortex-Neuronen ergeben sich über 100 Billionen Synapsen – eine unvorstellbare Zahl an Verbindungen. Diese Verbindungen sind es, die Information kodieren, nicht die Neuronen selbst.</w:t>
      </w:r>
    </w:p>
    <w:p>
      <w:pPr>
        <w:pStyle w:val="Heading2"/>
      </w:pPr>
      <w:r>
        <w:t xml:space="preserve">7.2 Savants: Veränderte Vernetzungsmuster</w:t>
      </w:r>
    </w:p>
    <w:p>
      <w:pPr>
        <w:spacing w:after="240"/>
      </w:pPr>
      <w:r>
        <w:t xml:space="preserve">Ein Savant hat vermutlich nicht mehr Neuronen im visuellen Cortex als ein durchschnittlicher Mensch. Was unterschiedlich ist, sind die Vernetzungsmuster und die Hemmungsmechanismen. Die Neuronen im visuellen Cortex sind möglicherweise weniger durch hemmende Signale aus dem Frontallappen eingeschränkt. Dies erlaubt eine direktere, ungefiltertere Verarbeitung visueller Information.</w:t>
      </w:r>
    </w:p>
    <w:p>
      <w:pPr>
        <w:spacing w:after="240"/>
      </w:pPr>
      <w:r>
        <w:t xml:space="preserve">Bei mathematischen Savants könnte die Verbindung zwischen dem Parietallappen (räumliches und numerisches Denken) und dem Kleinhirn (automatische Berechnungen) außergewöhnlich stark sein. Die Zahlen werden nicht mehr bewusst verarbeitet, sondern fließen direkt in automatisierte Rechenprozesse, ähnlich wie ein geübter Pianist nicht mehr über einzelne Noten nachdenkt.</w:t>
      </w:r>
    </w:p>
    <w:p>
      <w:pPr>
        <w:pStyle w:val="Heading2"/>
      </w:pPr>
      <w:r>
        <w:t xml:space="preserve">7.3 Synaptic Pruning: Weniger ist mehr</w:t>
      </w:r>
    </w:p>
    <w:p>
      <w:pPr>
        <w:spacing w:after="240"/>
      </w:pPr>
      <w:r>
        <w:t xml:space="preserve">Kinder werden mit einem Übermaß an synaptischen Verbindungen geboren. In den ersten Lebensjahren bildet das Gehirn aggressiv neue Synapsen – bis zu 40.000 pro Sekunde. Dann beginnt jedoch der Prozess des 'Synaptic Pruning': Das Gehirn eliminiert systematisch die Verbindungen, die nicht regelmäßig genutzt werden.</w:t>
      </w:r>
    </w:p>
    <w:p>
      <w:pPr>
        <w:spacing w:after="240"/>
      </w:pPr>
      <w:r>
        <w:t xml:space="preserve">Dieser Prozess erreicht seinen Höhepunkt in der Adoleszenz. Etwa 40% aller synaptischen Verbindungen werden eliminiert. Dies klingt nach Verlust, ist aber essentiell für Effizienz. Das erwachsene Gehirn ist nicht weniger leistungsfähig als das kindliche – es ist spezialisierter und effizienter. Die verbleibenden Verbindungen sind stärker, schneller und zielgerichteter.</w:t>
      </w:r>
    </w:p>
    <w:p>
      <w:pPr>
        <w:spacing w:after="240"/>
      </w:pPr>
      <w:r>
        <w:t xml:space="preserve">Bei einigen neurologischen Entwicklungsstörungen, einschließlich mancher Formen von Autismus, verläuft dieser Pruning-Prozess anders. Zu viele Verbindungen bleiben bestehen, was zu einer Art 'Reizüberflutung' führen kann. Das Gehirn wird von zu vielen gleichzeitigen Signalen überwältigt, was Filtermechanismen und selektive Aufmerksamkeit erschwert.</w:t>
      </w:r>
    </w:p>
    <w:p>
      <w:pPr>
        <w:pStyle w:val="Heading2"/>
      </w:pPr>
      <w:r>
        <w:t xml:space="preserve">7.4 Myelinisierung: Die Geschwindigkeit der Gedanken</w:t>
      </w:r>
    </w:p>
    <w:p>
      <w:pPr>
        <w:spacing w:after="480"/>
      </w:pPr>
      <w:r>
        <w:t xml:space="preserve">Myelin ist eine fettige Isolierschicht, die Axone (die langen Fortsätze von Neuronen) umhüllt. Diese Isolierung erhöht die Geschwindigkeit der Signalleitung dramatisch – von etwa 1 Meter pro Sekunde in unmyelinisierten Fasern auf bis zu 100 Meter pro Sekunde in stark myelinisierten Fasern. Die Myelinisierung ist ein langsamer Prozess, der erst im jungen Erwachsenenalter abgeschlossen ist. Der präfrontale Cortex – verantwortlich für Planung, Impulskontrolle und komplexes Denken – wird als letztes vollständig myelinisiert, oft erst mit Mitte 20. Dies erklärt teilweise die impulsivere Natur von Jugendlichen: Die Verbindungen zwischen emotionalen Zentren und den rationalen Kontrollzentren sind noch nicht vollständig 'verkabelt'. Bei Savants könnten spezifische Nervenbahnen besonders stark myelinisiert sein, was extrem schnelle, automatisierte Verarbeitung in ihren Spezialbereichen ermöglicht.</w:t>
      </w:r>
    </w:p>
    <w:p>
      <w:pPr>
        <w:pStyle w:val="Heading1"/>
      </w:pPr>
      <w:r>
        <w:t xml:space="preserve">8. Plastizität und Kompensation</w:t>
      </w:r>
    </w:p>
    <w:p>
      <w:pPr>
        <w:pStyle w:val="Heading2"/>
      </w:pPr>
      <w:r>
        <w:t xml:space="preserve">8.1 Neuroplastizität über die Lebensspanne</w:t>
      </w:r>
    </w:p>
    <w:p>
      <w:pPr>
        <w:spacing w:after="240"/>
      </w:pPr>
      <w:r>
        <w:t xml:space="preserve">Die Neuroplastizität – die Fähigkeit des Gehirns, sich zu verändern und anzupassen – ist am größten in der Kindheit, bleibt aber das gesamte Leben über erhalten. Das kindliche Gehirn ist extrem formbar; deshalb können Kinder mühelos mehrere Sprachen gleichzeitig lernen oder sich von Hirnverletzungen erholen, die bei Erwachsenen verheerende Folgen hätten.</w:t>
      </w:r>
    </w:p>
    <w:p>
      <w:pPr>
        <w:spacing w:after="240"/>
      </w:pPr>
      <w:r>
        <w:t xml:space="preserve">Diese extreme Plastizität hat jedoch auch Nachteile. Ein junges Gehirn ist anfälliger für negative Einflüsse: Traumata, Vernachlässigung oder Toxine können dauerhafte Schäden anrichten. Die Entwicklungsphase ist ein zweischneidiges Schwert – maximale Lernfähigkeit bei maximaler Vulnerabilität.</w:t>
      </w:r>
    </w:p>
    <w:p>
      <w:pPr>
        <w:spacing w:after="240"/>
      </w:pPr>
      <w:r>
        <w:t xml:space="preserve">Im Erwachsenenalter nimmt die Plastizität ab, verschwindet aber nie vollständig. Auch ein 70-jähriges Gehirn kann neue Fähigkeiten erlernen und neue neuronale Verbindungen bilden. Der Prozess dauert länger und erfordert mehr Wiederholungen, aber er ist möglich. Das Sprichwort 'Was Hänschen nicht lernt, lernt Hans nimmermehr' ist neurologisch falsch – Hans kann sehr wohl lernen, es dauert nur länger.</w:t>
      </w:r>
    </w:p>
    <w:p>
      <w:pPr>
        <w:pStyle w:val="Heading2"/>
      </w:pPr>
      <w:r>
        <w:t xml:space="preserve">8.2 Kompensationsmechanismen nach Hirnschäden</w:t>
      </w:r>
    </w:p>
    <w:p>
      <w:pPr>
        <w:spacing w:after="240"/>
      </w:pPr>
      <w:r>
        <w:t xml:space="preserve">Nach einem Schlaganfall, der beispielsweise die linke motorische Rinde schädigt, kann das Gehirn erstaunliche Kompensationsstrategien entwickeln. Zunächst übernehmen benachbarte, unbeschädigte Areale schrittweise die Funktionen des zerstörten Gewebes. Dieser Prozess wird durch intensives Training und Rehabilitation beschleunigt.</w:t>
      </w:r>
    </w:p>
    <w:p>
      <w:pPr>
        <w:spacing w:after="240"/>
      </w:pPr>
      <w:r>
        <w:t xml:space="preserve">Interessanterweise kann auch die rechte Hemisphäre teilweise die Funktionen der linken übernehmen, obwohl die Hemisphären normalerweise spezialisiert sind. Dies zeigt, dass die funktionelle Spezialisierung des Gehirns nicht absolut ist. Die Areale haben Präferenzen, aber keine exklusiven Zuständigkeiten.</w:t>
      </w:r>
    </w:p>
    <w:p>
      <w:pPr>
        <w:spacing w:after="240"/>
      </w:pPr>
      <w:r>
        <w:t xml:space="preserve">Die Fähigkeit zur Kompensation hängt stark vom Alter ab. Ein Kind, das einen Schlaganfall erleidet, hat deutlich bessere Genesungschancen als ein Erwachsener mit identischer Verletzung. Das kindliche Gehirn kann Funktionen umleiten und neu organisieren, während das erwachsene Gehirn stärker auf etablierte Pfade fixiert ist.</w:t>
      </w:r>
    </w:p>
    <w:p>
      <w:pPr>
        <w:pStyle w:val="Heading2"/>
      </w:pPr>
      <w:r>
        <w:t xml:space="preserve">8.3 Die kritischen Perioden</w:t>
      </w:r>
    </w:p>
    <w:p>
      <w:pPr>
        <w:spacing w:after="240"/>
      </w:pPr>
      <w:r>
        <w:t xml:space="preserve">Für bestimmte Fähigkeiten existieren 'kritische Perioden' – Zeitfenster, in denen das Gehirn besonders empfänglich für bestimmte Arten von Input ist. Die bekannteste ist die kritische Periode für Spracherwerb, die etwa bis zur Pubertät reicht.</w:t>
      </w:r>
    </w:p>
    <w:p>
      <w:pPr>
        <w:spacing w:after="240"/>
      </w:pPr>
      <w:r>
        <w:t xml:space="preserve">Kinder, die in den ersten Lebensjahren keiner Sprache ausgesetzt waren (wie im tragischen Fall von 'Genie', einem Mädchen, das 13 Jahre lang isoliert aufwuchs), können später nie vollständige grammatikalische Kompetenz entwickeln. Das Zeitfenster hat sich geschlossen. Interessanterweise gilt dies nicht für alle Aspekte von Sprache – Vokabular kann lebenslang erworben werden, aber die grundlegenden grammatikalischen Strukturen müssen früh erlernt werden.</w:t>
      </w:r>
    </w:p>
    <w:p>
      <w:pPr>
        <w:spacing w:after="240"/>
      </w:pPr>
      <w:r>
        <w:t xml:space="preserve">Ähnliche kritische Perioden existieren für visuelle Entwicklung (die ersten Lebensjahre), absolute Tonhöhe (früheste Kindheit) und soziale Bindungen (erste Lebensjahre). Nach Ablauf dieser Perioden bleibt Lernen möglich, aber bestimmte Fähigkeiten können nie mehr die gleiche Qualität erreichen.</w:t>
      </w:r>
    </w:p>
    <w:p>
      <w:pPr>
        <w:pStyle w:val="Heading2"/>
      </w:pPr>
      <w:r>
        <w:t xml:space="preserve">8.4 Neurogenese: Neue Neuronen im erwachsenen Gehirn</w:t>
      </w:r>
    </w:p>
    <w:p>
      <w:pPr>
        <w:spacing w:after="480"/>
      </w:pPr>
      <w:r>
        <w:t xml:space="preserve">Lange glaubte man, dass das erwachsene Gehirn keine neuen Neuronen bilden kann. Diese Annahme hat sich als falsch erwiesen. Neurogenese – die Bildung neuer Neuronen – findet lebenslang in mindestens zwei Hirnregionen statt: dem Hippocampus (wichtig für Gedächtnisbildung) und dem Riechkolben. Im Hippocampus werden täglich etwa 700 neue Neuronen geboren. Diese Neuronen integrieren sich in bestehende Netzwerke und spielen eine wichtige Rolle bei der Bildung neuer Erinnerungen. Faktoren, die die Neurogenese fördern, umfassen körperliche Bewegung, geistige Stimulation, soziale Interaktion und ausreichenden Schlaf. Chronischer Stress, Depression und Schlafmangel hingegen reduzieren die Neurogenese deutlich. Dies könnte erklären, warum Sport und geistige Aktivität das Risiko für Demenz senken – sie halten das Gehirn buchstäblich jung, indem sie die Produktion neuer Neuronen fördern.</w:t>
      </w:r>
    </w:p>
    <w:p>
      <w:pPr>
        <w:pStyle w:val="Heading1"/>
      </w:pPr>
      <w:r>
        <w:t xml:space="preserve">9. Schlussbetrachtungen</w:t>
      </w:r>
    </w:p>
    <w:p>
      <w:pPr>
        <w:pStyle w:val="Heading2"/>
      </w:pPr>
      <w:r>
        <w:t xml:space="preserve">9.1 Das Gehirn als lernendes System</w:t>
      </w:r>
    </w:p>
    <w:p>
      <w:pPr>
        <w:spacing w:after="240"/>
      </w:pPr>
      <w:r>
        <w:t xml:space="preserve">Das menschliche Gehirn ist weit mehr als ein biologischer Computer. Es ist ein selbstorganisierendes, adaptives System, das sich kontinuierlich durch Erfahrungen verändert. Jede Wahrnehmung, jeder Gedanke, jede Handlung hinterlässt physische Spuren in Form veränderter synaptischer Verbindungen.</w:t>
      </w:r>
    </w:p>
    <w:p>
      <w:pPr>
        <w:spacing w:after="240"/>
      </w:pPr>
      <w:r>
        <w:t xml:space="preserve">Im Gegensatz zu künstlichen neuronalen Netzen, die in diskreten Trainingsphasen lernen und dann fixiert sind, lernt das biologische Gehirn kontinuierlich. Es gibt keine Trennung zwischen 'Training' und 'Inferenz' – jeder Moment ist beides gleichzeitig. Diese ständige Anpassungsfähigkeit ist sowohl Stärke als auch Schwäche: Das Gehirn kann sich lebenslang weiterentwickeln, aber es kann auch fehlerhafte Muster verstärken.</w:t>
      </w:r>
    </w:p>
    <w:p>
      <w:pPr>
        <w:pStyle w:val="Heading2"/>
      </w:pPr>
      <w:r>
        <w:t xml:space="preserve">9.2 Die Grenzen der Analogie</w:t>
      </w:r>
    </w:p>
    <w:p>
      <w:pPr>
        <w:spacing w:after="240"/>
      </w:pPr>
      <w:r>
        <w:t xml:space="preserve">Der Vergleich zwischen Gehirn und Computer ist aufschlussreich, aber auch irreführend. Das Gehirn ist kein Computer, der Information verarbeitet. Es ist ein biologisches Organ, das aus der Evolution hervorging, um Organismen beim Überleben zu helfen. Viele seiner Eigenschaften – Emotionen, Bewusstsein, subjektive Erfahrung – lassen sich nicht einfach in computationale Begriffe übersetzen.</w:t>
      </w:r>
    </w:p>
    <w:p>
      <w:pPr>
        <w:spacing w:after="240"/>
      </w:pPr>
      <w:r>
        <w:t xml:space="preserve">Künstliche Intelligenz nähert sich in spezifischen Aufgaben der menschlichen Leistung an oder übertrifft sie sogar. Doch die Generalisierungsfähigkeit, die Energieeffizienz und die Flexibilität des biologischen Gehirns bleiben unerreicht. Ein vierjähriges Kind kann in wenigen Beispielen lernen, was eine KI Millionen Trainingsbeispiele kostet.</w:t>
      </w:r>
    </w:p>
    <w:p>
      <w:pPr>
        <w:pStyle w:val="Heading2"/>
      </w:pPr>
      <w:r>
        <w:t xml:space="preserve">9.3 Außergewöhnliche Fähigkeiten als Fenster ins Gehirn</w:t>
      </w:r>
    </w:p>
    <w:p>
      <w:pPr>
        <w:spacing w:after="240"/>
      </w:pPr>
      <w:r>
        <w:t xml:space="preserve">Die Fälle von Savant-Syndrom, erworbenen Fähigkeiten nach Hirnverletzungen und anderen neurologischen Besonderheiten sind nicht nur medizinische Kuriositäten. Sie sind Fenster, durch die wir die grundlegenden Prinzipien der Gehirnorganisation erkennen können. Sie zeigen uns:</w:t>
      </w:r>
    </w:p>
    <w:p>
      <w:pPr>
        <w:pStyle w:val="ListParagraph"/>
        <w:numPr>
          <w:ilvl w:val="0"/>
          <w:numId w:val="2"/>
        </w:numPr>
      </w:pPr>
      <w:r>
        <w:t xml:space="preserve">Dass außergewöhnliche Fähigkeiten oft durch das Fehlen von Hemmungen entstehen, nicht durch zusätzliche Fähigkeiten</w:t>
      </w:r>
    </w:p>
    <w:p>
      <w:pPr>
        <w:pStyle w:val="ListParagraph"/>
        <w:numPr>
          <w:ilvl w:val="0"/>
          <w:numId w:val="2"/>
        </w:numPr>
      </w:pPr>
      <w:r>
        <w:t xml:space="preserve">Dass das 'normale' Gehirn aktiv Informationen filtert und unterdrückt</w:t>
      </w:r>
    </w:p>
    <w:p>
      <w:pPr>
        <w:pStyle w:val="ListParagraph"/>
        <w:numPr>
          <w:ilvl w:val="0"/>
          <w:numId w:val="2"/>
        </w:numPr>
      </w:pPr>
      <w:r>
        <w:t xml:space="preserve">Dass verschiedene Gedächtnissysteme unabhängig voneinander operieren</w:t>
      </w:r>
    </w:p>
    <w:p>
      <w:pPr>
        <w:pStyle w:val="ListParagraph"/>
        <w:numPr>
          <w:ilvl w:val="0"/>
          <w:numId w:val="2"/>
        </w:numPr>
      </w:pPr>
      <w:r>
        <w:t xml:space="preserve">Dass das Gehirn trotz Schäden erstaunliche Kompensationsfähigkeiten besitzt</w:t>
      </w:r>
    </w:p>
    <w:p>
      <w:pPr>
        <w:spacing w:before="240" w:after="240"/>
      </w:pPr>
      <w:r>
        <w:t xml:space="preserve"/>
      </w:r>
    </w:p>
    <w:p>
      <w:pPr>
        <w:pStyle w:val="Heading2"/>
      </w:pPr>
      <w:r>
        <w:t xml:space="preserve">9.4 Zukunftsperspektiven</w:t>
      </w:r>
    </w:p>
    <w:p>
      <w:pPr>
        <w:spacing w:after="240"/>
      </w:pPr>
      <w:r>
        <w:t xml:space="preserve">Die Neurowissenschaft steht noch am Anfang des Verständnisses, wie das Gehirn tatsächlich funktioniert. Wir können Neuronen beobachten, Hirnareale kartieren und Funktionen lokalisieren. Doch wie aus der Aktivität von 86 Milliarden Neuronen Bewusstsein, subjektive Erfahrung und Selbstreflexion entstehen, bleibt eines der größten ungelösten Rätsel der Wissenschaft.</w:t>
      </w:r>
    </w:p>
    <w:p>
      <w:pPr>
        <w:spacing w:after="240"/>
      </w:pPr>
      <w:r>
        <w:t xml:space="preserve">Zukünftige Technologien könnten es ermöglichen, die Aktivität des Gehirns auf nie dagewesene Weise zu modulieren. Brain-Computer-Interfaces, optogenetische Stimulation und gezielte transkranielle Magnetstimulation eröffnen Möglichkeiten, die noch vor wenigen Jahrzehnten undenkbar waren. Die ethischen Implikationen solcher Eingriffe in die neuronale Funktionsweise werden intensiver Diskussion bedürfen.</w:t>
      </w:r>
    </w:p>
    <w:p>
      <w:pPr>
        <w:pStyle w:val="Heading2"/>
      </w:pPr>
      <w:r>
        <w:t xml:space="preserve">9.5 Fazit</w:t>
      </w:r>
    </w:p>
    <w:p>
      <w:pPr>
        <w:spacing w:after="240"/>
      </w:pPr>
      <w:r>
        <w:t xml:space="preserve">Das menschliche Gehirn repräsentiert den Höhepunkt biologischer Evolution – ein Organ von unvorstellbarer Komplexität, das mit minimalem Energieaufwand Leistungen vollbringt, die selbst die fortschrittlichsten technischen Systeme übersteigen. Seine Fähigkeit zur Anpassung, zur Selbstorganisation und zur Kompensation von Schäden ist bemerkenswert.</w:t>
      </w:r>
    </w:p>
    <w:p>
      <w:pPr>
        <w:spacing w:after="240"/>
      </w:pPr>
      <w:r>
        <w:t xml:space="preserve">Gleichzeitig zeigen die Fälle von neurologischen Besonderheiten und Hirnschäden, wie fragil dieses System auch ist. Die Balance zwischen verschiedenen Hirnarealen, zwischen Hemmung und Aktivierung, zwischen Abstraktion und detaillierter Wahrnehmung ist fein austariert. Störungen dieser Balance führen zu dramatischen Veränderungen der kognitiven Fähigkeiten und Persönlichkeit.</w:t>
      </w:r>
    </w:p>
    <w:p>
      <w:pPr>
        <w:spacing w:after="240"/>
      </w:pPr>
      <w:r>
        <w:t xml:space="preserve">Unser Verständnis des Gehirns wächst kontinuierlich, doch es bleibt bescheiden im Vergleich zur Komplexität des Organs selbst. Jede neue Entdeckung wirft neue Fragen auf. Das Gehirn zu verstehen bedeutet letztlich, uns selbst zu verstehen – ein Unterfangen, das die Wissenschaft noch für Generationen beschäftigen wird.</w:t>
      </w:r>
    </w:p>
    <w:p>
      <w:pPr>
        <w:spacing w:after="360"/>
      </w:pPr>
      <w:r>
        <w:t xml:space="preserve">Die Effizienz, Anpassungsfähigkeit und Leistungsfähigkeit des biologischen Gehirns bleiben ein Maßstab, an dem sich künstliche Systeme messen lassen müssen. Trotz aller Fortschritte in der künstlichen Intelligenz ist das Gehirn mit seinen 20 Watt Leistungsaufnahme und 86 Milliarden Neuronen nach wie vor das effizienteste und vielseitigste Informationsverarbeitungssystem, das wir kennen.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480"/>
      <w:jc w:val="center"/>
    </w:pPr>
    <w:rPr>
      <w:rFonts w:ascii="Arial" w:cs="Arial" w:eastAsia="Arial" w:hAnsi="Arial"/>
      <w:b/>
      <w:bCs/>
      <w:color w:val="1F4E78"/>
      <w:sz w:val="56"/>
      <w:szCs w:val="56"/>
    </w:rPr>
  </w:style>
  <w:style w:type="paragraph" w:styleId="Heading1">
    <w:name w:val="Heading 1"/>
    <w:basedOn w:val="Normal"/>
    <w:next w:val="Normal"/>
    <w:qFormat/>
    <w:pPr>
      <w:spacing w:before="48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2026-01-05T15:56:35.860Z</dcterms:created>
  <dcterms:modified xsi:type="dcterms:W3CDTF">2026-01-05T15:56:35.861Z</dcterms:modified>
</cp:coreProperties>
</file>

<file path=docProps/custom.xml><?xml version="1.0" encoding="utf-8"?>
<Properties xmlns="http://schemas.openxmlformats.org/officeDocument/2006/custom-properties" xmlns:vt="http://schemas.openxmlformats.org/officeDocument/2006/docPropsVTypes"/>
</file>