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6221A"/>
          <w:sz w:val="56"/>
          <w:szCs w:val="56"/>
        </w:rPr>
        <w:t xml:space="preserve">ATM EMPIRE</w:t>
      </w:r>
    </w:p>
    <w:p>
      <w:pPr>
        <w:spacing w:after="120"/>
        <w:jc w:val="center"/>
      </w:pPr>
      <w:r>
        <w:rPr>
          <w:color w:val="666666"/>
          <w:sz w:val="30"/>
          <w:szCs w:val="30"/>
        </w:rPr>
        <w:t xml:space="preserve">Game Design Document</w:t>
      </w:r>
    </w:p>
    <w:p>
      <w:pPr>
        <w:spacing w:after="120"/>
        <w:jc w:val="center"/>
      </w:pPr>
      <w:r>
        <w:rPr>
          <w:i/>
          <w:iCs/>
          <w:color w:val="666666"/>
          <w:sz w:val="20"/>
          <w:szCs w:val="20"/>
        </w:rPr>
        <w:t xml:space="preserve">Design freeze 1.0 als bouwspecificatie voor de Flutter-implementatie</w:t>
      </w:r>
    </w:p>
    <w:p>
      <w:pPr>
        <w:jc w:val="center"/>
      </w:pPr>
      <w:r>
        <w:rPr>
          <w:color w:val="666666"/>
          <w:sz w:val="20"/>
          <w:szCs w:val="20"/>
        </w:rPr>
        <w:t xml:space="preserve">Wesley Bunink, juli 2026</w:t>
      </w:r>
    </w:p>
    <w:p>
      <w:r>
        <w:br w:type="page"/>
      </w:r>
    </w:p>
    <w:p>
      <w:pPr>
        <w:pStyle w:val="Heading1"/>
        <w:spacing w:after="160" w:before="340"/>
      </w:pPr>
      <w:r>
        <w:t xml:space="preserve">1. Concept en designfilosofie</w:t>
      </w:r>
    </w:p>
    <w:p>
      <w:pPr>
        <w:spacing w:after="120"/>
      </w:pPr>
      <w:r>
        <w:t xml:space="preserve">ATM Empire is een mobiele tycoon game (Android en iOS) waarin de speler een netwerk van geldautomaten opbouwt en beheert. De speler plaatst automaten op locaties, houdt cassettes gevuld, lost slijtage op, sluit bankcontracten en groeit van een dorpsnetwerk naar landelijke dekking.</w:t>
      </w:r>
    </w:p>
    <w:p>
      <w:pPr>
        <w:spacing w:after="120"/>
      </w:pPr>
      <w:r>
        <w:t xml:space="preserve">De kernfilosofie is generous progression: de speler wordt beloond voor het spelen, nooit gestraft. Concreet betekent dit:</w:t>
      </w:r>
    </w:p>
    <w:p>
      <w:pPr>
        <w:pStyle w:val="ListParagraph"/>
        <w:numPr>
          <w:ilvl w:val="0"/>
          <w:numId w:val="2"/>
        </w:numPr>
        <w:spacing w:after="60"/>
      </w:pPr>
      <w:r>
        <w:t xml:space="preserve">Straf is vertraging, geen verlies. Storingen pauzeren inkomen, ze vernietigen geen voortgang.</w:t>
      </w:r>
    </w:p>
    <w:p>
      <w:pPr>
        <w:pStyle w:val="ListParagraph"/>
        <w:numPr>
          <w:ilvl w:val="0"/>
          <w:numId w:val="2"/>
        </w:numPr>
        <w:spacing w:after="60"/>
      </w:pPr>
      <w:r>
        <w:t xml:space="preserve">Willekeur is voorspelbaar gemaakt. Slijtage is een zichtbare balk, geen plotselinge pech. Random events zijn overwegend positief of kosteloos.</w:t>
      </w:r>
    </w:p>
    <w:p>
      <w:pPr>
        <w:pStyle w:val="ListParagraph"/>
        <w:numPr>
          <w:ilvl w:val="0"/>
          <w:numId w:val="2"/>
        </w:numPr>
        <w:spacing w:after="60"/>
      </w:pPr>
      <w:r>
        <w:t xml:space="preserve">Er is altijd iets binnen handbereik: elke 2 tot 3 minuten een aankoop, unlock of mijlpaal.</w:t>
      </w:r>
    </w:p>
    <w:p>
      <w:pPr>
        <w:pStyle w:val="ListParagraph"/>
        <w:numPr>
          <w:ilvl w:val="0"/>
          <w:numId w:val="2"/>
        </w:numPr>
        <w:spacing w:after="60"/>
      </w:pPr>
      <w:r>
        <w:t xml:space="preserve">Elke sessie eindigt positief: offline inkomen bij terugkomst, mijlpaalbonussen, doelen met beloningen.</w:t>
      </w:r>
    </w:p>
    <w:p>
      <w:pPr>
        <w:spacing w:after="80"/>
      </w:pPr>
    </w:p>
    <w:p>
      <w:pPr>
        <w:pStyle w:val="Heading1"/>
        <w:spacing w:after="160" w:before="340"/>
      </w:pPr>
      <w:r>
        <w:t xml:space="preserve">2. Core game loop</w:t>
      </w:r>
    </w:p>
    <w:p>
      <w:pPr>
        <w:spacing w:after="120"/>
      </w:pPr>
      <w:r>
        <w:t xml:space="preserve">De loop op sessieniveau: automaten genereren passief inkomen per transactie, cassettes lopen leeg en machines slijten, de speler vult bij en pleegt onderhoud, en investeert de winst in nieuwe locaties, betere terminals, personeel en bankcontracten. De micro-beslissing komt elke 30 tot 60 seconden; de dagcyclus en events zorgen voor variatie.</w:t>
      </w:r>
    </w:p>
    <w:p>
      <w:pPr>
        <w:spacing w:after="80"/>
      </w:pPr>
    </w:p>
    <w:p>
      <w:pPr>
        <w:pStyle w:val="Heading1"/>
        <w:spacing w:after="160" w:before="340"/>
      </w:pPr>
      <w:r>
        <w:t xml:space="preserve">3. Economie</w:t>
      </w:r>
    </w:p>
    <w:p>
      <w:pPr>
        <w:pStyle w:val="Heading2"/>
        <w:spacing w:after="120" w:before="260"/>
      </w:pPr>
      <w:r>
        <w:t xml:space="preserve">3.1 Inkomsten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val="clear"/>
            <w:tcMar>
              <w:top w:type="dxa" w:w="60"/>
              <w:left w:type="dxa" w:w="100"/>
              <w:bottom w:type="dxa" w:w="60"/>
              <w:right w:type="dxa" w:w="100"/>
            </w:tcMar>
          </w:tcPr>
          <w:p>
            <w:r>
              <w:rPr>
                <w:b/>
                <w:bCs/>
                <w:color w:val="FFFFFF"/>
                <w:sz w:val="18"/>
                <w:szCs w:val="18"/>
              </w:rPr>
              <w:t xml:space="preserve">Bron</w:t>
            </w:r>
          </w:p>
        </w:tc>
        <w:tc>
          <w:tcPr>
            <w:tcW w:type="dxa" w:w="7100"/>
            <w:shd w:fill="1F3864" w:val="clear"/>
            <w:tcMar>
              <w:top w:type="dxa" w:w="60"/>
              <w:left w:type="dxa" w:w="100"/>
              <w:bottom w:type="dxa" w:w="60"/>
              <w:right w:type="dxa" w:w="100"/>
            </w:tcMar>
          </w:tcPr>
          <w:p>
            <w:r>
              <w:rPr>
                <w:b/>
                <w:bCs/>
                <w:color w:val="FFFFFF"/>
                <w:sz w:val="18"/>
                <w:szCs w:val="18"/>
              </w:rPr>
              <w:t xml:space="preserve">Regel</w:t>
            </w:r>
          </w:p>
        </w:tc>
      </w:tr>
      <w:tr>
        <w:tc>
          <w:tcPr>
            <w:tcW w:type="dxa" w:w="2200"/>
            <w:tcMar>
              <w:top w:type="dxa" w:w="50"/>
              <w:left w:type="dxa" w:w="100"/>
              <w:bottom w:type="dxa" w:w="50"/>
              <w:right w:type="dxa" w:w="100"/>
            </w:tcMar>
          </w:tcPr>
          <w:p>
            <w:r>
              <w:rPr>
                <w:sz w:val="18"/>
                <w:szCs w:val="18"/>
              </w:rPr>
              <w:t xml:space="preserve">Opnametransactie</w:t>
            </w:r>
          </w:p>
        </w:tc>
        <w:tc>
          <w:tcPr>
            <w:tcW w:type="dxa" w:w="7100"/>
            <w:tcMar>
              <w:top w:type="dxa" w:w="50"/>
              <w:left w:type="dxa" w:w="100"/>
              <w:bottom w:type="dxa" w:w="50"/>
              <w:right w:type="dxa" w:w="100"/>
            </w:tcMar>
          </w:tcPr>
          <w:p>
            <w:r>
              <w:rPr>
                <w:sz w:val="18"/>
                <w:szCs w:val="18"/>
              </w:rPr>
              <w:t xml:space="preserve">Kans per seconde = 0,55 x druktefactor (max 0,95). Opbrengst = tierinkomen x spreiding (0,8-1,4) x banktarief x analistbonus x prestigemultiplier.</w:t>
            </w:r>
          </w:p>
        </w:tc>
      </w:tr>
      <w:tr>
        <w:tc>
          <w:tcPr>
            <w:tcW w:type="dxa" w:w="2200"/>
            <w:tcMar>
              <w:top w:type="dxa" w:w="50"/>
              <w:left w:type="dxa" w:w="100"/>
              <w:bottom w:type="dxa" w:w="50"/>
              <w:right w:type="dxa" w:w="100"/>
            </w:tcMar>
          </w:tcPr>
          <w:p>
            <w:r>
              <w:rPr>
                <w:sz w:val="18"/>
                <w:szCs w:val="18"/>
              </w:rPr>
              <w:t xml:space="preserve">DCC (toerist)</w:t>
            </w:r>
          </w:p>
        </w:tc>
        <w:tc>
          <w:tcPr>
            <w:tcW w:type="dxa" w:w="7100"/>
            <w:tcMar>
              <w:top w:type="dxa" w:w="50"/>
              <w:left w:type="dxa" w:w="100"/>
              <w:bottom w:type="dxa" w:w="50"/>
              <w:right w:type="dxa" w:w="100"/>
            </w:tcMar>
          </w:tcPr>
          <w:p>
            <w:r>
              <w:rPr>
                <w:sz w:val="18"/>
                <w:szCs w:val="18"/>
              </w:rPr>
              <w:t xml:space="preserve">4 euro extra bovenop de transactie. Kans 5% per transactie, 14% op toeristische locaties (Reizen, Station, Evenement, Horeca).</w:t>
            </w:r>
          </w:p>
        </w:tc>
      </w:tr>
      <w:tr>
        <w:tc>
          <w:tcPr>
            <w:tcW w:type="dxa" w:w="2200"/>
            <w:tcMar>
              <w:top w:type="dxa" w:w="50"/>
              <w:left w:type="dxa" w:w="100"/>
              <w:bottom w:type="dxa" w:w="50"/>
              <w:right w:type="dxa" w:w="100"/>
            </w:tcMar>
          </w:tcPr>
          <w:p>
            <w:r>
              <w:rPr>
                <w:sz w:val="18"/>
                <w:szCs w:val="18"/>
              </w:rPr>
              <w:t xml:space="preserve">Storting</w:t>
            </w:r>
          </w:p>
        </w:tc>
        <w:tc>
          <w:tcPr>
            <w:tcW w:type="dxa" w:w="7100"/>
            <w:tcMar>
              <w:top w:type="dxa" w:w="50"/>
              <w:left w:type="dxa" w:w="100"/>
              <w:bottom w:type="dxa" w:w="50"/>
              <w:right w:type="dxa" w:w="100"/>
            </w:tcMar>
          </w:tcPr>
          <w:p>
            <w:r>
              <w:rPr>
                <w:sz w:val="18"/>
                <w:szCs w:val="18"/>
              </w:rPr>
              <w:t xml:space="preserve">Alleen recyclers. 0,50 euro fee per storting, 2-6 biljetten terug de cassette in. Kans 12% per seconde.</w:t>
            </w:r>
          </w:p>
        </w:tc>
      </w:tr>
      <w:tr>
        <w:tc>
          <w:tcPr>
            <w:tcW w:type="dxa" w:w="2200"/>
            <w:tcMar>
              <w:top w:type="dxa" w:w="50"/>
              <w:left w:type="dxa" w:w="100"/>
              <w:bottom w:type="dxa" w:w="50"/>
              <w:right w:type="dxa" w:w="100"/>
            </w:tcMar>
          </w:tcPr>
          <w:p>
            <w:r>
              <w:rPr>
                <w:sz w:val="18"/>
                <w:szCs w:val="18"/>
              </w:rPr>
              <w:t xml:space="preserve">Mijlpalen en doelen</w:t>
            </w:r>
          </w:p>
        </w:tc>
        <w:tc>
          <w:tcPr>
            <w:tcW w:type="dxa" w:w="7100"/>
            <w:tcMar>
              <w:top w:type="dxa" w:w="50"/>
              <w:left w:type="dxa" w:w="100"/>
              <w:bottom w:type="dxa" w:w="50"/>
              <w:right w:type="dxa" w:w="100"/>
            </w:tcMar>
          </w:tcPr>
          <w:p>
            <w:r>
              <w:rPr>
                <w:sz w:val="18"/>
                <w:szCs w:val="18"/>
              </w:rPr>
              <w:t xml:space="preserve">Cashbonussen bij totaal-verdiend-drempels en bij het doorlopende bijvuldoel.</w:t>
            </w:r>
          </w:p>
        </w:tc>
      </w:tr>
      <w:tr>
        <w:tc>
          <w:tcPr>
            <w:tcW w:type="dxa" w:w="2200"/>
            <w:tcMar>
              <w:top w:type="dxa" w:w="50"/>
              <w:left w:type="dxa" w:w="100"/>
              <w:bottom w:type="dxa" w:w="50"/>
              <w:right w:type="dxa" w:w="100"/>
            </w:tcMar>
          </w:tcPr>
          <w:p>
            <w:r>
              <w:rPr>
                <w:sz w:val="18"/>
                <w:szCs w:val="18"/>
              </w:rPr>
              <w:t xml:space="preserve">Verzekering</w:t>
            </w:r>
          </w:p>
        </w:tc>
        <w:tc>
          <w:tcPr>
            <w:tcW w:type="dxa" w:w="7100"/>
            <w:tcMar>
              <w:top w:type="dxa" w:w="50"/>
              <w:left w:type="dxa" w:w="100"/>
              <w:bottom w:type="dxa" w:w="50"/>
              <w:right w:type="dxa" w:w="100"/>
            </w:tcMar>
          </w:tcPr>
          <w:p>
            <w:r>
              <w:rPr>
                <w:sz w:val="18"/>
                <w:szCs w:val="18"/>
              </w:rPr>
              <w:t xml:space="preserve">Afgeslagen plofkraakpoging keert 100 + 60 per IBNS-level uit.</w:t>
            </w:r>
          </w:p>
        </w:tc>
      </w:tr>
    </w:tbl>
    <w:p>
      <w:pPr>
        <w:spacing w:after="80"/>
      </w:pPr>
    </w:p>
    <w:p>
      <w:pPr>
        <w:pStyle w:val="Heading2"/>
        <w:spacing w:after="120" w:before="260"/>
      </w:pPr>
      <w:r>
        <w:t xml:space="preserve">3.2 Kosten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val="clear"/>
            <w:tcMar>
              <w:top w:type="dxa" w:w="60"/>
              <w:left w:type="dxa" w:w="100"/>
              <w:bottom w:type="dxa" w:w="60"/>
              <w:right w:type="dxa" w:w="100"/>
            </w:tcMar>
          </w:tcPr>
          <w:p>
            <w:r>
              <w:rPr>
                <w:b/>
                <w:bCs/>
                <w:color w:val="FFFFFF"/>
                <w:sz w:val="18"/>
                <w:szCs w:val="18"/>
              </w:rPr>
              <w:t xml:space="preserve">Post</w:t>
            </w:r>
          </w:p>
        </w:tc>
        <w:tc>
          <w:tcPr>
            <w:tcW w:type="dxa" w:w="7100"/>
            <w:shd w:fill="1F3864" w:val="clear"/>
            <w:tcMar>
              <w:top w:type="dxa" w:w="60"/>
              <w:left w:type="dxa" w:w="100"/>
              <w:bottom w:type="dxa" w:w="60"/>
              <w:right w:type="dxa" w:w="100"/>
            </w:tcMar>
          </w:tcPr>
          <w:p>
            <w:r>
              <w:rPr>
                <w:b/>
                <w:bCs/>
                <w:color w:val="FFFFFF"/>
                <w:sz w:val="18"/>
                <w:szCs w:val="18"/>
              </w:rPr>
              <w:t xml:space="preserve">Regel</w:t>
            </w:r>
          </w:p>
        </w:tc>
      </w:tr>
      <w:tr>
        <w:tc>
          <w:tcPr>
            <w:tcW w:type="dxa" w:w="2200"/>
            <w:tcMar>
              <w:top w:type="dxa" w:w="50"/>
              <w:left w:type="dxa" w:w="100"/>
              <w:bottom w:type="dxa" w:w="50"/>
              <w:right w:type="dxa" w:w="100"/>
            </w:tcMar>
          </w:tcPr>
          <w:p>
            <w:r>
              <w:rPr>
                <w:sz w:val="18"/>
                <w:szCs w:val="18"/>
              </w:rPr>
              <w:t xml:space="preserve">CIT-rit (servicing)</w:t>
            </w:r>
          </w:p>
        </w:tc>
        <w:tc>
          <w:tcPr>
            <w:tcW w:type="dxa" w:w="7100"/>
            <w:tcMar>
              <w:top w:type="dxa" w:w="50"/>
              <w:left w:type="dxa" w:w="100"/>
              <w:bottom w:type="dxa" w:w="50"/>
              <w:right w:type="dxa" w:w="100"/>
            </w:tcMar>
          </w:tcPr>
          <w:p>
            <w:r>
              <w:rPr>
                <w:sz w:val="18"/>
                <w:szCs w:val="18"/>
              </w:rPr>
              <w:t xml:space="preserve">Vast tarief 60 euro per rit, onafhankelijk van cassettegrootte. CIT-routeoptimalisatie geeft 15% korting per level.</w:t>
            </w:r>
          </w:p>
        </w:tc>
      </w:tr>
      <w:tr>
        <w:tc>
          <w:tcPr>
            <w:tcW w:type="dxa" w:w="2200"/>
            <w:tcMar>
              <w:top w:type="dxa" w:w="50"/>
              <w:left w:type="dxa" w:w="100"/>
              <w:bottom w:type="dxa" w:w="50"/>
              <w:right w:type="dxa" w:w="100"/>
            </w:tcMar>
          </w:tcPr>
          <w:p>
            <w:r>
              <w:rPr>
                <w:sz w:val="18"/>
                <w:szCs w:val="18"/>
              </w:rPr>
              <w:t xml:space="preserve">Voorrijkosten storing</w:t>
            </w:r>
          </w:p>
        </w:tc>
        <w:tc>
          <w:tcPr>
            <w:tcW w:type="dxa" w:w="7100"/>
            <w:tcMar>
              <w:top w:type="dxa" w:w="50"/>
              <w:left w:type="dxa" w:w="100"/>
              <w:bottom w:type="dxa" w:w="50"/>
              <w:right w:type="dxa" w:w="100"/>
            </w:tcMar>
          </w:tcPr>
          <w:p>
            <w:r>
              <w:rPr>
                <w:sz w:val="18"/>
                <w:szCs w:val="18"/>
              </w:rPr>
              <w:t xml:space="preserve">40 + 20 per tier, automatisch afgeschreven bij uitval (nooit onder saldo nul). IBNS geeft 8% korting per level.</w:t>
            </w:r>
          </w:p>
        </w:tc>
      </w:tr>
      <w:tr>
        <w:tc>
          <w:tcPr>
            <w:tcW w:type="dxa" w:w="2200"/>
            <w:tcMar>
              <w:top w:type="dxa" w:w="50"/>
              <w:left w:type="dxa" w:w="100"/>
              <w:bottom w:type="dxa" w:w="50"/>
              <w:right w:type="dxa" w:w="100"/>
            </w:tcMar>
          </w:tcPr>
          <w:p>
            <w:r>
              <w:rPr>
                <w:sz w:val="18"/>
                <w:szCs w:val="18"/>
              </w:rPr>
              <w:t xml:space="preserve">Float-rente</w:t>
            </w:r>
          </w:p>
        </w:tc>
        <w:tc>
          <w:tcPr>
            <w:tcW w:type="dxa" w:w="7100"/>
            <w:tcMar>
              <w:top w:type="dxa" w:w="50"/>
              <w:left w:type="dxa" w:w="100"/>
              <w:bottom w:type="dxa" w:w="50"/>
              <w:right w:type="dxa" w:w="100"/>
            </w:tcMar>
          </w:tcPr>
          <w:p>
            <w:r>
              <w:rPr>
                <w:sz w:val="18"/>
                <w:szCs w:val="18"/>
              </w:rPr>
              <w:t xml:space="preserve">0,000012 per seconde over de cashwaarde in alle cassettes (gemiddeld biljet 40 euro). Zachte rem op overfillen; kan saldo nooit negatief maken.</w:t>
            </w:r>
          </w:p>
        </w:tc>
      </w:tr>
      <w:tr>
        <w:tc>
          <w:tcPr>
            <w:tcW w:type="dxa" w:w="2200"/>
            <w:tcMar>
              <w:top w:type="dxa" w:w="50"/>
              <w:left w:type="dxa" w:w="100"/>
              <w:bottom w:type="dxa" w:w="50"/>
              <w:right w:type="dxa" w:w="100"/>
            </w:tcMar>
          </w:tcPr>
          <w:p>
            <w:r>
              <w:rPr>
                <w:sz w:val="18"/>
                <w:szCs w:val="18"/>
              </w:rPr>
              <w:t xml:space="preserve">Aankopen</w:t>
            </w:r>
          </w:p>
        </w:tc>
        <w:tc>
          <w:tcPr>
            <w:tcW w:type="dxa" w:w="7100"/>
            <w:tcMar>
              <w:top w:type="dxa" w:w="50"/>
              <w:left w:type="dxa" w:w="100"/>
              <w:bottom w:type="dxa" w:w="50"/>
              <w:right w:type="dxa" w:w="100"/>
            </w:tcMar>
          </w:tcPr>
          <w:p>
            <w:r>
              <w:rPr>
                <w:sz w:val="18"/>
                <w:szCs w:val="18"/>
              </w:rPr>
              <w:t xml:space="preserve">Automaten, tier-upgrades, netwerk-upgrades, personeel, bankcontracten.</w:t>
            </w:r>
          </w:p>
        </w:tc>
      </w:tr>
    </w:tbl>
    <w:p>
      <w:pPr>
        <w:spacing w:after="80"/>
      </w:pPr>
    </w:p>
    <w:p>
      <w:pPr>
        <w:pStyle w:val="Heading2"/>
        <w:spacing w:after="120" w:before="260"/>
      </w:pPr>
      <w:r>
        <w:t xml:space="preserve">3.3 Terminal-tiers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900"/>
        <w:gridCol w:w="1700"/>
        <w:gridCol w:w="2700"/>
      </w:tblGrid>
      <w:tr>
        <w:trPr>
          <w:tblHeader/>
        </w:trPr>
        <w:tc>
          <w:tcPr>
            <w:tcW w:type="dxa" w:w="1600"/>
            <w:shd w:fill="1F3864" w:val="clear"/>
            <w:tcMar>
              <w:top w:type="dxa" w:w="60"/>
              <w:left w:type="dxa" w:w="100"/>
              <w:bottom w:type="dxa" w:w="60"/>
              <w:right w:type="dxa" w:w="100"/>
            </w:tcMar>
          </w:tcPr>
          <w:p>
            <w:r>
              <w:rPr>
                <w:b/>
                <w:bCs/>
                <w:color w:val="FFFFFF"/>
                <w:sz w:val="18"/>
                <w:szCs w:val="18"/>
              </w:rPr>
              <w:t xml:space="preserve">Tier</w:t>
            </w:r>
          </w:p>
        </w:tc>
        <w:tc>
          <w:tcPr>
            <w:tcW w:type="dxa" w:w="1400"/>
            <w:shd w:fill="1F3864" w:val="clear"/>
            <w:tcMar>
              <w:top w:type="dxa" w:w="60"/>
              <w:left w:type="dxa" w:w="100"/>
              <w:bottom w:type="dxa" w:w="60"/>
              <w:right w:type="dxa" w:w="100"/>
            </w:tcMar>
          </w:tcPr>
          <w:p>
            <w:r>
              <w:rPr>
                <w:b/>
                <w:bCs/>
                <w:color w:val="FFFFFF"/>
                <w:sz w:val="18"/>
                <w:szCs w:val="18"/>
              </w:rPr>
              <w:t xml:space="preserve">Capaciteit</w:t>
            </w:r>
          </w:p>
        </w:tc>
        <w:tc>
          <w:tcPr>
            <w:tcW w:type="dxa" w:w="1900"/>
            <w:shd w:fill="1F3864" w:val="clear"/>
            <w:tcMar>
              <w:top w:type="dxa" w:w="60"/>
              <w:left w:type="dxa" w:w="100"/>
              <w:bottom w:type="dxa" w:w="60"/>
              <w:right w:type="dxa" w:w="100"/>
            </w:tcMar>
          </w:tcPr>
          <w:p>
            <w:r>
              <w:rPr>
                <w:b/>
                <w:bCs/>
                <w:color w:val="FFFFFF"/>
                <w:sz w:val="18"/>
                <w:szCs w:val="18"/>
              </w:rPr>
              <w:t xml:space="preserve">Inkomen/transactie</w:t>
            </w:r>
          </w:p>
        </w:tc>
        <w:tc>
          <w:tcPr>
            <w:tcW w:type="dxa" w:w="1700"/>
            <w:shd w:fill="1F3864" w:val="clear"/>
            <w:tcMar>
              <w:top w:type="dxa" w:w="60"/>
              <w:left w:type="dxa" w:w="100"/>
              <w:bottom w:type="dxa" w:w="60"/>
              <w:right w:type="dxa" w:w="100"/>
            </w:tcMar>
          </w:tcPr>
          <w:p>
            <w:r>
              <w:rPr>
                <w:b/>
                <w:bCs/>
                <w:color w:val="FFFFFF"/>
                <w:sz w:val="18"/>
                <w:szCs w:val="18"/>
              </w:rPr>
              <w:t xml:space="preserve">Upgradekosten</w:t>
            </w:r>
          </w:p>
        </w:tc>
        <w:tc>
          <w:tcPr>
            <w:tcW w:type="dxa" w:w="2700"/>
            <w:shd w:fill="1F3864" w:val="clear"/>
            <w:tcMar>
              <w:top w:type="dxa" w:w="60"/>
              <w:left w:type="dxa" w:w="100"/>
              <w:bottom w:type="dxa" w:w="60"/>
              <w:right w:type="dxa" w:w="100"/>
            </w:tcMar>
          </w:tcPr>
          <w:p>
            <w:r>
              <w:rPr>
                <w:b/>
                <w:bCs/>
                <w:color w:val="FFFFFF"/>
                <w:sz w:val="18"/>
                <w:szCs w:val="18"/>
              </w:rPr>
              <w:t xml:space="preserve">Bijzonderheid</w:t>
            </w:r>
          </w:p>
        </w:tc>
      </w:tr>
      <w:tr>
        <w:tc>
          <w:tcPr>
            <w:tcW w:type="dxa" w:w="1600"/>
            <w:tcMar>
              <w:top w:type="dxa" w:w="50"/>
              <w:left w:type="dxa" w:w="100"/>
              <w:bottom w:type="dxa" w:w="50"/>
              <w:right w:type="dxa" w:w="100"/>
            </w:tcMar>
          </w:tcPr>
          <w:p>
            <w:r>
              <w:rPr>
                <w:sz w:val="18"/>
                <w:szCs w:val="18"/>
              </w:rPr>
              <w:t xml:space="preserve">Lobby basic</w:t>
            </w:r>
          </w:p>
        </w:tc>
        <w:tc>
          <w:tcPr>
            <w:tcW w:type="dxa" w:w="1400"/>
            <w:tcMar>
              <w:top w:type="dxa" w:w="50"/>
              <w:left w:type="dxa" w:w="100"/>
              <w:bottom w:type="dxa" w:w="50"/>
              <w:right w:type="dxa" w:w="100"/>
            </w:tcMar>
          </w:tcPr>
          <w:p>
            <w:r>
              <w:rPr>
                <w:sz w:val="18"/>
                <w:szCs w:val="18"/>
              </w:rPr>
              <w:t xml:space="preserve">100</w:t>
            </w:r>
          </w:p>
        </w:tc>
        <w:tc>
          <w:tcPr>
            <w:tcW w:type="dxa" w:w="1900"/>
            <w:tcMar>
              <w:top w:type="dxa" w:w="50"/>
              <w:left w:type="dxa" w:w="100"/>
              <w:bottom w:type="dxa" w:w="50"/>
              <w:right w:type="dxa" w:w="100"/>
            </w:tcMar>
          </w:tcPr>
          <w:p>
            <w:r>
              <w:rPr>
                <w:sz w:val="18"/>
                <w:szCs w:val="18"/>
              </w:rPr>
              <w:t xml:space="preserve">2 euro</w:t>
            </w:r>
          </w:p>
        </w:tc>
        <w:tc>
          <w:tcPr>
            <w:tcW w:type="dxa" w:w="1700"/>
            <w:tcMar>
              <w:top w:type="dxa" w:w="50"/>
              <w:left w:type="dxa" w:w="100"/>
              <w:bottom w:type="dxa" w:w="50"/>
              <w:right w:type="dxa" w:w="100"/>
            </w:tcMar>
          </w:tcPr>
          <w:p>
            <w:r>
              <w:rPr>
                <w:sz w:val="18"/>
                <w:szCs w:val="18"/>
              </w:rPr>
              <w:t xml:space="preserve">start</w:t>
            </w:r>
          </w:p>
        </w:tc>
        <w:tc>
          <w:tcPr>
            <w:tcW w:type="dxa" w:w="2700"/>
            <w:tcMar>
              <w:top w:type="dxa" w:w="50"/>
              <w:left w:type="dxa" w:w="100"/>
              <w:bottom w:type="dxa" w:w="50"/>
              <w:right w:type="dxa" w:w="100"/>
            </w:tcMar>
          </w:tcPr>
          <w:p>
            <w:r>
              <w:rPr>
                <w:sz w:val="18"/>
                <w:szCs w:val="18"/>
              </w:rPr>
              <w:t xml:space="preserve">-</w:t>
            </w:r>
          </w:p>
        </w:tc>
      </w:tr>
      <w:tr>
        <w:tc>
          <w:tcPr>
            <w:tcW w:type="dxa" w:w="1600"/>
            <w:tcMar>
              <w:top w:type="dxa" w:w="50"/>
              <w:left w:type="dxa" w:w="100"/>
              <w:bottom w:type="dxa" w:w="50"/>
              <w:right w:type="dxa" w:w="100"/>
            </w:tcMar>
          </w:tcPr>
          <w:p>
            <w:r>
              <w:rPr>
                <w:sz w:val="18"/>
                <w:szCs w:val="18"/>
              </w:rPr>
              <w:t xml:space="preserve">Lobby plus</w:t>
            </w:r>
          </w:p>
        </w:tc>
        <w:tc>
          <w:tcPr>
            <w:tcW w:type="dxa" w:w="1400"/>
            <w:tcMar>
              <w:top w:type="dxa" w:w="50"/>
              <w:left w:type="dxa" w:w="100"/>
              <w:bottom w:type="dxa" w:w="50"/>
              <w:right w:type="dxa" w:w="100"/>
            </w:tcMar>
          </w:tcPr>
          <w:p>
            <w:r>
              <w:rPr>
                <w:sz w:val="18"/>
                <w:szCs w:val="18"/>
              </w:rPr>
              <w:t xml:space="preserve">160</w:t>
            </w:r>
          </w:p>
        </w:tc>
        <w:tc>
          <w:tcPr>
            <w:tcW w:type="dxa" w:w="1900"/>
            <w:tcMar>
              <w:top w:type="dxa" w:w="50"/>
              <w:left w:type="dxa" w:w="100"/>
              <w:bottom w:type="dxa" w:w="50"/>
              <w:right w:type="dxa" w:w="100"/>
            </w:tcMar>
          </w:tcPr>
          <w:p>
            <w:r>
              <w:rPr>
                <w:sz w:val="18"/>
                <w:szCs w:val="18"/>
              </w:rPr>
              <w:t xml:space="preserve">3 euro</w:t>
            </w:r>
          </w:p>
        </w:tc>
        <w:tc>
          <w:tcPr>
            <w:tcW w:type="dxa" w:w="1700"/>
            <w:tcMar>
              <w:top w:type="dxa" w:w="50"/>
              <w:left w:type="dxa" w:w="100"/>
              <w:bottom w:type="dxa" w:w="50"/>
              <w:right w:type="dxa" w:w="100"/>
            </w:tcMar>
          </w:tcPr>
          <w:p>
            <w:r>
              <w:rPr>
                <w:sz w:val="18"/>
                <w:szCs w:val="18"/>
              </w:rPr>
              <w:t xml:space="preserve">350</w:t>
            </w:r>
          </w:p>
        </w:tc>
        <w:tc>
          <w:tcPr>
            <w:tcW w:type="dxa" w:w="2700"/>
            <w:tcMar>
              <w:top w:type="dxa" w:w="50"/>
              <w:left w:type="dxa" w:w="100"/>
              <w:bottom w:type="dxa" w:w="50"/>
              <w:right w:type="dxa" w:w="100"/>
            </w:tcMar>
          </w:tcPr>
          <w:p>
            <w:r>
              <w:rPr>
                <w:sz w:val="18"/>
                <w:szCs w:val="18"/>
              </w:rPr>
              <w:t xml:space="preserve">-</w:t>
            </w:r>
          </w:p>
        </w:tc>
      </w:tr>
      <w:tr>
        <w:tc>
          <w:tcPr>
            <w:tcW w:type="dxa" w:w="1600"/>
            <w:tcMar>
              <w:top w:type="dxa" w:w="50"/>
              <w:left w:type="dxa" w:w="100"/>
              <w:bottom w:type="dxa" w:w="50"/>
              <w:right w:type="dxa" w:w="100"/>
            </w:tcMar>
          </w:tcPr>
          <w:p>
            <w:r>
              <w:rPr>
                <w:sz w:val="18"/>
                <w:szCs w:val="18"/>
              </w:rPr>
              <w:t xml:space="preserve">TTW unit</w:t>
            </w:r>
          </w:p>
        </w:tc>
        <w:tc>
          <w:tcPr>
            <w:tcW w:type="dxa" w:w="1400"/>
            <w:tcMar>
              <w:top w:type="dxa" w:w="50"/>
              <w:left w:type="dxa" w:w="100"/>
              <w:bottom w:type="dxa" w:w="50"/>
              <w:right w:type="dxa" w:w="100"/>
            </w:tcMar>
          </w:tcPr>
          <w:p>
            <w:r>
              <w:rPr>
                <w:sz w:val="18"/>
                <w:szCs w:val="18"/>
              </w:rPr>
              <w:t xml:space="preserve">240</w:t>
            </w:r>
          </w:p>
        </w:tc>
        <w:tc>
          <w:tcPr>
            <w:tcW w:type="dxa" w:w="1900"/>
            <w:tcMar>
              <w:top w:type="dxa" w:w="50"/>
              <w:left w:type="dxa" w:w="100"/>
              <w:bottom w:type="dxa" w:w="50"/>
              <w:right w:type="dxa" w:w="100"/>
            </w:tcMar>
          </w:tcPr>
          <w:p>
            <w:r>
              <w:rPr>
                <w:sz w:val="18"/>
                <w:szCs w:val="18"/>
              </w:rPr>
              <w:t xml:space="preserve">5 euro</w:t>
            </w:r>
          </w:p>
        </w:tc>
        <w:tc>
          <w:tcPr>
            <w:tcW w:type="dxa" w:w="1700"/>
            <w:tcMar>
              <w:top w:type="dxa" w:w="50"/>
              <w:left w:type="dxa" w:w="100"/>
              <w:bottom w:type="dxa" w:w="50"/>
              <w:right w:type="dxa" w:w="100"/>
            </w:tcMar>
          </w:tcPr>
          <w:p>
            <w:r>
              <w:rPr>
                <w:sz w:val="18"/>
                <w:szCs w:val="18"/>
              </w:rPr>
              <w:t xml:space="preserve">840</w:t>
            </w:r>
          </w:p>
        </w:tc>
        <w:tc>
          <w:tcPr>
            <w:tcW w:type="dxa" w:w="2700"/>
            <w:tcMar>
              <w:top w:type="dxa" w:w="50"/>
              <w:left w:type="dxa" w:w="100"/>
              <w:bottom w:type="dxa" w:w="50"/>
              <w:right w:type="dxa" w:w="100"/>
            </w:tcMar>
          </w:tcPr>
          <w:p>
            <w:r>
              <w:rPr>
                <w:sz w:val="18"/>
                <w:szCs w:val="18"/>
              </w:rPr>
              <w:t xml:space="preserve">-</w:t>
            </w:r>
          </w:p>
        </w:tc>
      </w:tr>
      <w:tr>
        <w:tc>
          <w:tcPr>
            <w:tcW w:type="dxa" w:w="1600"/>
            <w:tcMar>
              <w:top w:type="dxa" w:w="50"/>
              <w:left w:type="dxa" w:w="100"/>
              <w:bottom w:type="dxa" w:w="50"/>
              <w:right w:type="dxa" w:w="100"/>
            </w:tcMar>
          </w:tcPr>
          <w:p>
            <w:r>
              <w:rPr>
                <w:sz w:val="18"/>
                <w:szCs w:val="18"/>
              </w:rPr>
              <w:t xml:space="preserve">TTW recycler</w:t>
            </w:r>
          </w:p>
        </w:tc>
        <w:tc>
          <w:tcPr>
            <w:tcW w:type="dxa" w:w="1400"/>
            <w:tcMar>
              <w:top w:type="dxa" w:w="50"/>
              <w:left w:type="dxa" w:w="100"/>
              <w:bottom w:type="dxa" w:w="50"/>
              <w:right w:type="dxa" w:w="100"/>
            </w:tcMar>
          </w:tcPr>
          <w:p>
            <w:r>
              <w:rPr>
                <w:sz w:val="18"/>
                <w:szCs w:val="18"/>
              </w:rPr>
              <w:t xml:space="preserve">340</w:t>
            </w:r>
          </w:p>
        </w:tc>
        <w:tc>
          <w:tcPr>
            <w:tcW w:type="dxa" w:w="1900"/>
            <w:tcMar>
              <w:top w:type="dxa" w:w="50"/>
              <w:left w:type="dxa" w:w="100"/>
              <w:bottom w:type="dxa" w:w="50"/>
              <w:right w:type="dxa" w:w="100"/>
            </w:tcMar>
          </w:tcPr>
          <w:p>
            <w:r>
              <w:rPr>
                <w:sz w:val="18"/>
                <w:szCs w:val="18"/>
              </w:rPr>
              <w:t xml:space="preserve">8 euro</w:t>
            </w:r>
          </w:p>
        </w:tc>
        <w:tc>
          <w:tcPr>
            <w:tcW w:type="dxa" w:w="1700"/>
            <w:tcMar>
              <w:top w:type="dxa" w:w="50"/>
              <w:left w:type="dxa" w:w="100"/>
              <w:bottom w:type="dxa" w:w="50"/>
              <w:right w:type="dxa" w:w="100"/>
            </w:tcMar>
          </w:tcPr>
          <w:p>
            <w:r>
              <w:rPr>
                <w:sz w:val="18"/>
                <w:szCs w:val="18"/>
              </w:rPr>
              <w:t xml:space="preserve">2.016</w:t>
            </w:r>
          </w:p>
        </w:tc>
        <w:tc>
          <w:tcPr>
            <w:tcW w:type="dxa" w:w="2700"/>
            <w:tcMar>
              <w:top w:type="dxa" w:w="50"/>
              <w:left w:type="dxa" w:w="100"/>
              <w:bottom w:type="dxa" w:w="50"/>
              <w:right w:type="dxa" w:w="100"/>
            </w:tcMar>
          </w:tcPr>
          <w:p>
            <w:r>
              <w:rPr>
                <w:sz w:val="18"/>
                <w:szCs w:val="18"/>
              </w:rPr>
              <w:t xml:space="preserve">Accepteert stortingen (recycling), iets meer slijtage</w:t>
            </w:r>
          </w:p>
        </w:tc>
      </w:tr>
    </w:tbl>
    <w:p>
      <w:pPr>
        <w:spacing w:after="80"/>
      </w:pPr>
    </w:p>
    <w:p>
      <w:pPr>
        <w:spacing w:after="120"/>
      </w:pPr>
      <w:r>
        <w:rPr>
          <w:i/>
          <w:iCs/>
          <w:color w:val="666666"/>
          <w:sz w:val="18"/>
          <w:szCs w:val="18"/>
        </w:rPr>
        <w:t xml:space="preserve">Nieuwe automaat: 400 euro basis, prijsgroei factor 1,6 per volgende automaat (verlaagd van 1,9 na balancing-simulatie).</w:t>
      </w:r>
    </w:p>
    <w:p>
      <w:pPr>
        <w:pStyle w:val="Heading1"/>
        <w:spacing w:after="160" w:before="340"/>
      </w:pPr>
      <w:r>
        <w:t xml:space="preserve">4. Onderhoud en storingen</w:t>
      </w:r>
    </w:p>
    <w:p>
      <w:pPr>
        <w:pStyle w:val="ListParagraph"/>
        <w:numPr>
          <w:ilvl w:val="0"/>
          <w:numId w:val="2"/>
        </w:numPr>
        <w:spacing w:after="60"/>
      </w:pPr>
      <w:r>
        <w:t xml:space="preserve">Slijtage: elke automaat heeft een staat-balk die met 0,004 per seconde daalt (IBNS: 12% langzamer per level). Recyclers slijten 0,003 extra per storting.</w:t>
      </w:r>
    </w:p>
    <w:p>
      <w:pPr>
        <w:pStyle w:val="ListParagraph"/>
        <w:numPr>
          <w:ilvl w:val="0"/>
          <w:numId w:val="2"/>
        </w:numPr>
        <w:spacing w:after="60"/>
      </w:pPr>
      <w:r>
        <w:t xml:space="preserve">Bij staat nul: automaat valt uit, voorrijkosten worden afgeschreven, gratis reparatietimer van 30 seconden start (12 met monteur). De speler kan meehelpen: elke tik versnelt 3 seconden.</w:t>
      </w:r>
    </w:p>
    <w:p>
      <w:pPr>
        <w:pStyle w:val="ListParagraph"/>
        <w:numPr>
          <w:ilvl w:val="0"/>
          <w:numId w:val="2"/>
        </w:numPr>
        <w:spacing w:after="60"/>
      </w:pPr>
      <w:r>
        <w:t xml:space="preserve">Preventief onderhoud is gratis en per direct, beschikbaar onder 90% staat. Vooruitplannen voelt daardoor slim.</w:t>
      </w:r>
    </w:p>
    <w:p>
      <w:pPr>
        <w:pStyle w:val="ListParagraph"/>
        <w:numPr>
          <w:ilvl w:val="0"/>
          <w:numId w:val="2"/>
        </w:numPr>
        <w:spacing w:after="60"/>
      </w:pPr>
      <w:r>
        <w:t xml:space="preserve">Events kunnen een automaat tijdelijk pauzeren (stroomstoring 20 seconden, plofkraakpoging zonder IBNS een reparatiecyclus), altijd zonder blijvend verlies.</w:t>
      </w:r>
    </w:p>
    <w:p>
      <w:pPr>
        <w:pStyle w:val="Heading1"/>
        <w:spacing w:after="160" w:before="340"/>
      </w:pPr>
      <w:r>
        <w:t xml:space="preserve">5. Dagcyclus en drukteprofielen</w:t>
      </w:r>
    </w:p>
    <w:p>
      <w:pPr>
        <w:spacing w:after="120"/>
      </w:pPr>
      <w:r>
        <w:t xml:space="preserve">Een speluur duurt 5 echte seconden; een etmaal 2 minuten. De transactiekans per locatie schaalt met een druktefactor per locatiesoort: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400"/>
        <w:gridCol w:w="1700"/>
        <w:gridCol w:w="1400"/>
      </w:tblGrid>
      <w:tr>
        <w:trPr>
          <w:tblHeader/>
        </w:trPr>
        <w:tc>
          <w:tcPr>
            <w:tcW w:type="dxa" w:w="2100"/>
            <w:shd w:fill="1F3864" w:val="clear"/>
            <w:tcMar>
              <w:top w:type="dxa" w:w="60"/>
              <w:left w:type="dxa" w:w="100"/>
              <w:bottom w:type="dxa" w:w="60"/>
              <w:right w:type="dxa" w:w="100"/>
            </w:tcMar>
          </w:tcPr>
          <w:p>
            <w:r>
              <w:rPr>
                <w:b/>
                <w:bCs/>
                <w:color w:val="FFFFFF"/>
                <w:sz w:val="18"/>
                <w:szCs w:val="18"/>
              </w:rPr>
              <w:t xml:space="preserve">Locatiesoort</w:t>
            </w:r>
          </w:p>
        </w:tc>
        <w:tc>
          <w:tcPr>
            <w:tcW w:type="dxa" w:w="2100"/>
            <w:shd w:fill="1F3864" w:val="clear"/>
            <w:tcMar>
              <w:top w:type="dxa" w:w="60"/>
              <w:left w:type="dxa" w:w="100"/>
              <w:bottom w:type="dxa" w:w="60"/>
              <w:right w:type="dxa" w:w="100"/>
            </w:tcMar>
          </w:tcPr>
          <w:p>
            <w:r>
              <w:rPr>
                <w:b/>
                <w:bCs/>
                <w:color w:val="FFFFFF"/>
                <w:sz w:val="18"/>
                <w:szCs w:val="18"/>
              </w:rPr>
              <w:t xml:space="preserve">Piek</w:t>
            </w:r>
          </w:p>
        </w:tc>
        <w:tc>
          <w:tcPr>
            <w:tcW w:type="dxa" w:w="1400"/>
            <w:shd w:fill="1F3864" w:val="clear"/>
            <w:tcMar>
              <w:top w:type="dxa" w:w="60"/>
              <w:left w:type="dxa" w:w="100"/>
              <w:bottom w:type="dxa" w:w="60"/>
              <w:right w:type="dxa" w:w="100"/>
            </w:tcMar>
          </w:tcPr>
          <w:p>
            <w:r>
              <w:rPr>
                <w:b/>
                <w:bCs/>
                <w:color w:val="FFFFFF"/>
                <w:sz w:val="18"/>
                <w:szCs w:val="18"/>
              </w:rPr>
              <w:t xml:space="preserve">Factor piek</w:t>
            </w:r>
          </w:p>
        </w:tc>
        <w:tc>
          <w:tcPr>
            <w:tcW w:type="dxa" w:w="1700"/>
            <w:shd w:fill="1F3864" w:val="clear"/>
            <w:tcMar>
              <w:top w:type="dxa" w:w="60"/>
              <w:left w:type="dxa" w:w="100"/>
              <w:bottom w:type="dxa" w:w="60"/>
              <w:right w:type="dxa" w:w="100"/>
            </w:tcMar>
          </w:tcPr>
          <w:p>
            <w:r>
              <w:rPr>
                <w:b/>
                <w:bCs/>
                <w:color w:val="FFFFFF"/>
                <w:sz w:val="18"/>
                <w:szCs w:val="18"/>
              </w:rPr>
              <w:t xml:space="preserve">Dal</w:t>
            </w:r>
          </w:p>
        </w:tc>
        <w:tc>
          <w:tcPr>
            <w:tcW w:type="dxa" w:w="1400"/>
            <w:shd w:fill="1F3864" w:val="clear"/>
            <w:tcMar>
              <w:top w:type="dxa" w:w="60"/>
              <w:left w:type="dxa" w:w="100"/>
              <w:bottom w:type="dxa" w:w="60"/>
              <w:right w:type="dxa" w:w="100"/>
            </w:tcMar>
          </w:tcPr>
          <w:p>
            <w:r>
              <w:rPr>
                <w:b/>
                <w:bCs/>
                <w:color w:val="FFFFFF"/>
                <w:sz w:val="18"/>
                <w:szCs w:val="18"/>
              </w:rPr>
              <w:t xml:space="preserve">Factor dal</w:t>
            </w:r>
          </w:p>
        </w:tc>
      </w:tr>
      <w:tr>
        <w:tc>
          <w:tcPr>
            <w:tcW w:type="dxa" w:w="2100"/>
            <w:tcMar>
              <w:top w:type="dxa" w:w="50"/>
              <w:left w:type="dxa" w:w="100"/>
              <w:bottom w:type="dxa" w:w="50"/>
              <w:right w:type="dxa" w:w="100"/>
            </w:tcMar>
          </w:tcPr>
          <w:p>
            <w:r>
              <w:rPr>
                <w:sz w:val="18"/>
                <w:szCs w:val="18"/>
              </w:rPr>
              <w:t xml:space="preserve">Station</w:t>
            </w:r>
          </w:p>
        </w:tc>
        <w:tc>
          <w:tcPr>
            <w:tcW w:type="dxa" w:w="2100"/>
            <w:tcMar>
              <w:top w:type="dxa" w:w="50"/>
              <w:left w:type="dxa" w:w="100"/>
              <w:bottom w:type="dxa" w:w="50"/>
              <w:right w:type="dxa" w:w="100"/>
            </w:tcMar>
          </w:tcPr>
          <w:p>
            <w:r>
              <w:rPr>
                <w:sz w:val="18"/>
                <w:szCs w:val="18"/>
              </w:rPr>
              <w:t xml:space="preserve">07-10 en 16-19 uur</w:t>
            </w:r>
          </w:p>
        </w:tc>
        <w:tc>
          <w:tcPr>
            <w:tcW w:type="dxa" w:w="1400"/>
            <w:tcMar>
              <w:top w:type="dxa" w:w="50"/>
              <w:left w:type="dxa" w:w="100"/>
              <w:bottom w:type="dxa" w:w="50"/>
              <w:right w:type="dxa" w:w="100"/>
            </w:tcMar>
          </w:tcPr>
          <w:p>
            <w:r>
              <w:rPr>
                <w:sz w:val="18"/>
                <w:szCs w:val="18"/>
              </w:rPr>
              <w:t xml:space="preserve">2,0</w:t>
            </w:r>
          </w:p>
        </w:tc>
        <w:tc>
          <w:tcPr>
            <w:tcW w:type="dxa" w:w="1700"/>
            <w:tcMar>
              <w:top w:type="dxa" w:w="50"/>
              <w:left w:type="dxa" w:w="100"/>
              <w:bottom w:type="dxa" w:w="50"/>
              <w:right w:type="dxa" w:w="100"/>
            </w:tcMar>
          </w:tcPr>
          <w:p>
            <w:r>
              <w:rPr>
                <w:sz w:val="18"/>
                <w:szCs w:val="18"/>
              </w:rPr>
              <w:t xml:space="preserve">01-05 uur</w:t>
            </w:r>
          </w:p>
        </w:tc>
        <w:tc>
          <w:tcPr>
            <w:tcW w:type="dxa" w:w="1400"/>
            <w:tcMar>
              <w:top w:type="dxa" w:w="50"/>
              <w:left w:type="dxa" w:w="100"/>
              <w:bottom w:type="dxa" w:w="50"/>
              <w:right w:type="dxa" w:w="100"/>
            </w:tcMar>
          </w:tcPr>
          <w:p>
            <w:r>
              <w:rPr>
                <w:sz w:val="18"/>
                <w:szCs w:val="18"/>
              </w:rPr>
              <w:t xml:space="preserve">0,2</w:t>
            </w:r>
          </w:p>
        </w:tc>
      </w:tr>
      <w:tr>
        <w:tc>
          <w:tcPr>
            <w:tcW w:type="dxa" w:w="2100"/>
            <w:tcMar>
              <w:top w:type="dxa" w:w="50"/>
              <w:left w:type="dxa" w:w="100"/>
              <w:bottom w:type="dxa" w:w="50"/>
              <w:right w:type="dxa" w:w="100"/>
            </w:tcMar>
          </w:tcPr>
          <w:p>
            <w:r>
              <w:rPr>
                <w:sz w:val="18"/>
                <w:szCs w:val="18"/>
              </w:rPr>
              <w:t xml:space="preserve">Winkel</w:t>
            </w:r>
          </w:p>
        </w:tc>
        <w:tc>
          <w:tcPr>
            <w:tcW w:type="dxa" w:w="2100"/>
            <w:tcMar>
              <w:top w:type="dxa" w:w="50"/>
              <w:left w:type="dxa" w:w="100"/>
              <w:bottom w:type="dxa" w:w="50"/>
              <w:right w:type="dxa" w:w="100"/>
            </w:tcMar>
          </w:tcPr>
          <w:p>
            <w:r>
              <w:rPr>
                <w:sz w:val="18"/>
                <w:szCs w:val="18"/>
              </w:rPr>
              <w:t xml:space="preserve">09-18 uur</w:t>
            </w:r>
          </w:p>
        </w:tc>
        <w:tc>
          <w:tcPr>
            <w:tcW w:type="dxa" w:w="1400"/>
            <w:tcMar>
              <w:top w:type="dxa" w:w="50"/>
              <w:left w:type="dxa" w:w="100"/>
              <w:bottom w:type="dxa" w:w="50"/>
              <w:right w:type="dxa" w:w="100"/>
            </w:tcMar>
          </w:tcPr>
          <w:p>
            <w:r>
              <w:rPr>
                <w:sz w:val="18"/>
                <w:szCs w:val="18"/>
              </w:rPr>
              <w:t xml:space="preserve">1,4</w:t>
            </w:r>
          </w:p>
        </w:tc>
        <w:tc>
          <w:tcPr>
            <w:tcW w:type="dxa" w:w="1700"/>
            <w:tcMar>
              <w:top w:type="dxa" w:w="50"/>
              <w:left w:type="dxa" w:w="100"/>
              <w:bottom w:type="dxa" w:w="50"/>
              <w:right w:type="dxa" w:w="100"/>
            </w:tcMar>
          </w:tcPr>
          <w:p>
            <w:r>
              <w:rPr>
                <w:sz w:val="18"/>
                <w:szCs w:val="18"/>
              </w:rPr>
              <w:t xml:space="preserve">21-09 uur</w:t>
            </w:r>
          </w:p>
        </w:tc>
        <w:tc>
          <w:tcPr>
            <w:tcW w:type="dxa" w:w="1400"/>
            <w:tcMar>
              <w:top w:type="dxa" w:w="50"/>
              <w:left w:type="dxa" w:w="100"/>
              <w:bottom w:type="dxa" w:w="50"/>
              <w:right w:type="dxa" w:w="100"/>
            </w:tcMar>
          </w:tcPr>
          <w:p>
            <w:r>
              <w:rPr>
                <w:sz w:val="18"/>
                <w:szCs w:val="18"/>
              </w:rPr>
              <w:t xml:space="preserve">0,15</w:t>
            </w:r>
          </w:p>
        </w:tc>
      </w:tr>
      <w:tr>
        <w:tc>
          <w:tcPr>
            <w:tcW w:type="dxa" w:w="2100"/>
            <w:tcMar>
              <w:top w:type="dxa" w:w="50"/>
              <w:left w:type="dxa" w:w="100"/>
              <w:bottom w:type="dxa" w:w="50"/>
              <w:right w:type="dxa" w:w="100"/>
            </w:tcMar>
          </w:tcPr>
          <w:p>
            <w:r>
              <w:rPr>
                <w:sz w:val="18"/>
                <w:szCs w:val="18"/>
              </w:rPr>
              <w:t xml:space="preserve">Winkelcentrum</w:t>
            </w:r>
          </w:p>
        </w:tc>
        <w:tc>
          <w:tcPr>
            <w:tcW w:type="dxa" w:w="2100"/>
            <w:tcMar>
              <w:top w:type="dxa" w:w="50"/>
              <w:left w:type="dxa" w:w="100"/>
              <w:bottom w:type="dxa" w:w="50"/>
              <w:right w:type="dxa" w:w="100"/>
            </w:tcMar>
          </w:tcPr>
          <w:p>
            <w:r>
              <w:rPr>
                <w:sz w:val="18"/>
                <w:szCs w:val="18"/>
              </w:rPr>
              <w:t xml:space="preserve">10-21 uur</w:t>
            </w:r>
          </w:p>
        </w:tc>
        <w:tc>
          <w:tcPr>
            <w:tcW w:type="dxa" w:w="1400"/>
            <w:tcMar>
              <w:top w:type="dxa" w:w="50"/>
              <w:left w:type="dxa" w:w="100"/>
              <w:bottom w:type="dxa" w:w="50"/>
              <w:right w:type="dxa" w:w="100"/>
            </w:tcMar>
          </w:tcPr>
          <w:p>
            <w:r>
              <w:rPr>
                <w:sz w:val="18"/>
                <w:szCs w:val="18"/>
              </w:rPr>
              <w:t xml:space="preserve">1,5</w:t>
            </w:r>
          </w:p>
        </w:tc>
        <w:tc>
          <w:tcPr>
            <w:tcW w:type="dxa" w:w="1700"/>
            <w:tcMar>
              <w:top w:type="dxa" w:w="50"/>
              <w:left w:type="dxa" w:w="100"/>
              <w:bottom w:type="dxa" w:w="50"/>
              <w:right w:type="dxa" w:w="100"/>
            </w:tcMar>
          </w:tcPr>
          <w:p>
            <w:r>
              <w:rPr>
                <w:sz w:val="18"/>
                <w:szCs w:val="18"/>
              </w:rPr>
              <w:t xml:space="preserve">nacht</w:t>
            </w:r>
          </w:p>
        </w:tc>
        <w:tc>
          <w:tcPr>
            <w:tcW w:type="dxa" w:w="1400"/>
            <w:tcMar>
              <w:top w:type="dxa" w:w="50"/>
              <w:left w:type="dxa" w:w="100"/>
              <w:bottom w:type="dxa" w:w="50"/>
              <w:right w:type="dxa" w:w="100"/>
            </w:tcMar>
          </w:tcPr>
          <w:p>
            <w:r>
              <w:rPr>
                <w:sz w:val="18"/>
                <w:szCs w:val="18"/>
              </w:rPr>
              <w:t xml:space="preserve">0,15</w:t>
            </w:r>
          </w:p>
        </w:tc>
      </w:tr>
      <w:tr>
        <w:tc>
          <w:tcPr>
            <w:tcW w:type="dxa" w:w="2100"/>
            <w:tcMar>
              <w:top w:type="dxa" w:w="50"/>
              <w:left w:type="dxa" w:w="100"/>
              <w:bottom w:type="dxa" w:w="50"/>
              <w:right w:type="dxa" w:w="100"/>
            </w:tcMar>
          </w:tcPr>
          <w:p>
            <w:r>
              <w:rPr>
                <w:sz w:val="18"/>
                <w:szCs w:val="18"/>
              </w:rPr>
              <w:t xml:space="preserve">Horeca / casino</w:t>
            </w:r>
          </w:p>
        </w:tc>
        <w:tc>
          <w:tcPr>
            <w:tcW w:type="dxa" w:w="2100"/>
            <w:tcMar>
              <w:top w:type="dxa" w:w="50"/>
              <w:left w:type="dxa" w:w="100"/>
              <w:bottom w:type="dxa" w:w="50"/>
              <w:right w:type="dxa" w:w="100"/>
            </w:tcMar>
          </w:tcPr>
          <w:p>
            <w:r>
              <w:rPr>
                <w:sz w:val="18"/>
                <w:szCs w:val="18"/>
              </w:rPr>
              <w:t xml:space="preserve">17-02 uur</w:t>
            </w:r>
          </w:p>
        </w:tc>
        <w:tc>
          <w:tcPr>
            <w:tcW w:type="dxa" w:w="1400"/>
            <w:tcMar>
              <w:top w:type="dxa" w:w="50"/>
              <w:left w:type="dxa" w:w="100"/>
              <w:bottom w:type="dxa" w:w="50"/>
              <w:right w:type="dxa" w:w="100"/>
            </w:tcMar>
          </w:tcPr>
          <w:p>
            <w:r>
              <w:rPr>
                <w:sz w:val="18"/>
                <w:szCs w:val="18"/>
              </w:rPr>
              <w:t xml:space="preserve">1,8</w:t>
            </w:r>
          </w:p>
        </w:tc>
        <w:tc>
          <w:tcPr>
            <w:tcW w:type="dxa" w:w="1700"/>
            <w:tcMar>
              <w:top w:type="dxa" w:w="50"/>
              <w:left w:type="dxa" w:w="100"/>
              <w:bottom w:type="dxa" w:w="50"/>
              <w:right w:type="dxa" w:w="100"/>
            </w:tcMar>
          </w:tcPr>
          <w:p>
            <w:r>
              <w:rPr>
                <w:sz w:val="18"/>
                <w:szCs w:val="18"/>
              </w:rPr>
              <w:t xml:space="preserve">overdag</w:t>
            </w:r>
          </w:p>
        </w:tc>
        <w:tc>
          <w:tcPr>
            <w:tcW w:type="dxa" w:w="1400"/>
            <w:tcMar>
              <w:top w:type="dxa" w:w="50"/>
              <w:left w:type="dxa" w:w="100"/>
              <w:bottom w:type="dxa" w:w="50"/>
              <w:right w:type="dxa" w:w="100"/>
            </w:tcMar>
          </w:tcPr>
          <w:p>
            <w:r>
              <w:rPr>
                <w:sz w:val="18"/>
                <w:szCs w:val="18"/>
              </w:rPr>
              <w:t xml:space="preserve">0,4</w:t>
            </w:r>
          </w:p>
        </w:tc>
      </w:tr>
      <w:tr>
        <w:tc>
          <w:tcPr>
            <w:tcW w:type="dxa" w:w="2100"/>
            <w:tcMar>
              <w:top w:type="dxa" w:w="50"/>
              <w:left w:type="dxa" w:w="100"/>
              <w:bottom w:type="dxa" w:w="50"/>
              <w:right w:type="dxa" w:w="100"/>
            </w:tcMar>
          </w:tcPr>
          <w:p>
            <w:r>
              <w:rPr>
                <w:sz w:val="18"/>
                <w:szCs w:val="18"/>
              </w:rPr>
              <w:t xml:space="preserve">Evenement (stadion)</w:t>
            </w:r>
          </w:p>
        </w:tc>
        <w:tc>
          <w:tcPr>
            <w:tcW w:type="dxa" w:w="2100"/>
            <w:tcMar>
              <w:top w:type="dxa" w:w="50"/>
              <w:left w:type="dxa" w:w="100"/>
              <w:bottom w:type="dxa" w:w="50"/>
              <w:right w:type="dxa" w:w="100"/>
            </w:tcMar>
          </w:tcPr>
          <w:p>
            <w:r>
              <w:rPr>
                <w:sz w:val="18"/>
                <w:szCs w:val="18"/>
              </w:rPr>
              <w:t xml:space="preserve">19-23 uur</w:t>
            </w:r>
          </w:p>
        </w:tc>
        <w:tc>
          <w:tcPr>
            <w:tcW w:type="dxa" w:w="1400"/>
            <w:tcMar>
              <w:top w:type="dxa" w:w="50"/>
              <w:left w:type="dxa" w:w="100"/>
              <w:bottom w:type="dxa" w:w="50"/>
              <w:right w:type="dxa" w:w="100"/>
            </w:tcMar>
          </w:tcPr>
          <w:p>
            <w:r>
              <w:rPr>
                <w:sz w:val="18"/>
                <w:szCs w:val="18"/>
              </w:rPr>
              <w:t xml:space="preserve">2,5</w:t>
            </w:r>
          </w:p>
        </w:tc>
        <w:tc>
          <w:tcPr>
            <w:tcW w:type="dxa" w:w="1700"/>
            <w:tcMar>
              <w:top w:type="dxa" w:w="50"/>
              <w:left w:type="dxa" w:w="100"/>
              <w:bottom w:type="dxa" w:w="50"/>
              <w:right w:type="dxa" w:w="100"/>
            </w:tcMar>
          </w:tcPr>
          <w:p>
            <w:r>
              <w:rPr>
                <w:sz w:val="18"/>
                <w:szCs w:val="18"/>
              </w:rPr>
              <w:t xml:space="preserve">overig</w:t>
            </w:r>
          </w:p>
        </w:tc>
        <w:tc>
          <w:tcPr>
            <w:tcW w:type="dxa" w:w="1400"/>
            <w:tcMar>
              <w:top w:type="dxa" w:w="50"/>
              <w:left w:type="dxa" w:w="100"/>
              <w:bottom w:type="dxa" w:w="50"/>
              <w:right w:type="dxa" w:w="100"/>
            </w:tcMar>
          </w:tcPr>
          <w:p>
            <w:r>
              <w:rPr>
                <w:sz w:val="18"/>
                <w:szCs w:val="18"/>
              </w:rPr>
              <w:t xml:space="preserve">0,3</w:t>
            </w:r>
          </w:p>
        </w:tc>
      </w:tr>
      <w:tr>
        <w:tc>
          <w:tcPr>
            <w:tcW w:type="dxa" w:w="2100"/>
            <w:tcMar>
              <w:top w:type="dxa" w:w="50"/>
              <w:left w:type="dxa" w:w="100"/>
              <w:bottom w:type="dxa" w:w="50"/>
              <w:right w:type="dxa" w:w="100"/>
            </w:tcMar>
          </w:tcPr>
          <w:p>
            <w:r>
              <w:rPr>
                <w:sz w:val="18"/>
                <w:szCs w:val="18"/>
              </w:rPr>
              <w:t xml:space="preserve">Reizen (luchthaven)</w:t>
            </w:r>
          </w:p>
        </w:tc>
        <w:tc>
          <w:tcPr>
            <w:tcW w:type="dxa" w:w="2100"/>
            <w:tcMar>
              <w:top w:type="dxa" w:w="50"/>
              <w:left w:type="dxa" w:w="100"/>
              <w:bottom w:type="dxa" w:w="50"/>
              <w:right w:type="dxa" w:w="100"/>
            </w:tcMar>
          </w:tcPr>
          <w:p>
            <w:r>
              <w:rPr>
                <w:sz w:val="18"/>
                <w:szCs w:val="18"/>
              </w:rPr>
              <w:t xml:space="preserve">hele dag</w:t>
            </w:r>
          </w:p>
        </w:tc>
        <w:tc>
          <w:tcPr>
            <w:tcW w:type="dxa" w:w="1400"/>
            <w:tcMar>
              <w:top w:type="dxa" w:w="50"/>
              <w:left w:type="dxa" w:w="100"/>
              <w:bottom w:type="dxa" w:w="50"/>
              <w:right w:type="dxa" w:w="100"/>
            </w:tcMar>
          </w:tcPr>
          <w:p>
            <w:r>
              <w:rPr>
                <w:sz w:val="18"/>
                <w:szCs w:val="18"/>
              </w:rPr>
              <w:t xml:space="preserve">1,2</w:t>
            </w:r>
          </w:p>
        </w:tc>
        <w:tc>
          <w:tcPr>
            <w:tcW w:type="dxa" w:w="1700"/>
            <w:tcMar>
              <w:top w:type="dxa" w:w="50"/>
              <w:left w:type="dxa" w:w="100"/>
              <w:bottom w:type="dxa" w:w="50"/>
              <w:right w:type="dxa" w:w="100"/>
            </w:tcMar>
          </w:tcPr>
          <w:p>
            <w:r>
              <w:rPr>
                <w:sz w:val="18"/>
                <w:szCs w:val="18"/>
              </w:rPr>
              <w:t xml:space="preserve">-</w:t>
            </w:r>
          </w:p>
        </w:tc>
        <w:tc>
          <w:tcPr>
            <w:tcW w:type="dxa" w:w="1400"/>
            <w:tcMar>
              <w:top w:type="dxa" w:w="50"/>
              <w:left w:type="dxa" w:w="100"/>
              <w:bottom w:type="dxa" w:w="50"/>
              <w:right w:type="dxa" w:w="100"/>
            </w:tcMar>
          </w:tcPr>
          <w:p>
            <w:r>
              <w:rPr>
                <w:sz w:val="18"/>
                <w:szCs w:val="18"/>
              </w:rPr>
              <w:t xml:space="preserve">-</w:t>
            </w:r>
          </w:p>
        </w:tc>
      </w:tr>
      <w:tr>
        <w:tc>
          <w:tcPr>
            <w:tcW w:type="dxa" w:w="2100"/>
            <w:tcMar>
              <w:top w:type="dxa" w:w="50"/>
              <w:left w:type="dxa" w:w="100"/>
              <w:bottom w:type="dxa" w:w="50"/>
              <w:right w:type="dxa" w:w="100"/>
            </w:tcMar>
          </w:tcPr>
          <w:p>
            <w:r>
              <w:rPr>
                <w:sz w:val="18"/>
                <w:szCs w:val="18"/>
              </w:rPr>
              <w:t xml:space="preserve">Zorg</w:t>
            </w:r>
          </w:p>
        </w:tc>
        <w:tc>
          <w:tcPr>
            <w:tcW w:type="dxa" w:w="2100"/>
            <w:tcMar>
              <w:top w:type="dxa" w:w="50"/>
              <w:left w:type="dxa" w:w="100"/>
              <w:bottom w:type="dxa" w:w="50"/>
              <w:right w:type="dxa" w:w="100"/>
            </w:tcMar>
          </w:tcPr>
          <w:p>
            <w:r>
              <w:rPr>
                <w:sz w:val="18"/>
                <w:szCs w:val="18"/>
              </w:rPr>
              <w:t xml:space="preserve">08-20 uur</w:t>
            </w:r>
          </w:p>
        </w:tc>
        <w:tc>
          <w:tcPr>
            <w:tcW w:type="dxa" w:w="1400"/>
            <w:tcMar>
              <w:top w:type="dxa" w:w="50"/>
              <w:left w:type="dxa" w:w="100"/>
              <w:bottom w:type="dxa" w:w="50"/>
              <w:right w:type="dxa" w:w="100"/>
            </w:tcMar>
          </w:tcPr>
          <w:p>
            <w:r>
              <w:rPr>
                <w:sz w:val="18"/>
                <w:szCs w:val="18"/>
              </w:rPr>
              <w:t xml:space="preserve">1,0</w:t>
            </w:r>
          </w:p>
        </w:tc>
        <w:tc>
          <w:tcPr>
            <w:tcW w:type="dxa" w:w="1700"/>
            <w:tcMar>
              <w:top w:type="dxa" w:w="50"/>
              <w:left w:type="dxa" w:w="100"/>
              <w:bottom w:type="dxa" w:w="50"/>
              <w:right w:type="dxa" w:w="100"/>
            </w:tcMar>
          </w:tcPr>
          <w:p>
            <w:r>
              <w:rPr>
                <w:sz w:val="18"/>
                <w:szCs w:val="18"/>
              </w:rPr>
              <w:t xml:space="preserve">nacht</w:t>
            </w:r>
          </w:p>
        </w:tc>
        <w:tc>
          <w:tcPr>
            <w:tcW w:type="dxa" w:w="1400"/>
            <w:tcMar>
              <w:top w:type="dxa" w:w="50"/>
              <w:left w:type="dxa" w:w="100"/>
              <w:bottom w:type="dxa" w:w="50"/>
              <w:right w:type="dxa" w:w="100"/>
            </w:tcMar>
          </w:tcPr>
          <w:p>
            <w:r>
              <w:rPr>
                <w:sz w:val="18"/>
                <w:szCs w:val="18"/>
              </w:rPr>
              <w:t xml:space="preserve">0,4</w:t>
            </w:r>
          </w:p>
        </w:tc>
      </w:tr>
      <w:tr>
        <w:tc>
          <w:tcPr>
            <w:tcW w:type="dxa" w:w="2100"/>
            <w:tcMar>
              <w:top w:type="dxa" w:w="50"/>
              <w:left w:type="dxa" w:w="100"/>
              <w:bottom w:type="dxa" w:w="50"/>
              <w:right w:type="dxa" w:w="100"/>
            </w:tcMar>
          </w:tcPr>
          <w:p>
            <w:r>
              <w:rPr>
                <w:sz w:val="18"/>
                <w:szCs w:val="18"/>
              </w:rPr>
              <w:t xml:space="preserve">Snelweg</w:t>
            </w:r>
          </w:p>
        </w:tc>
        <w:tc>
          <w:tcPr>
            <w:tcW w:type="dxa" w:w="2100"/>
            <w:tcMar>
              <w:top w:type="dxa" w:w="50"/>
              <w:left w:type="dxa" w:w="100"/>
              <w:bottom w:type="dxa" w:w="50"/>
              <w:right w:type="dxa" w:w="100"/>
            </w:tcMar>
          </w:tcPr>
          <w:p>
            <w:r>
              <w:rPr>
                <w:sz w:val="18"/>
                <w:szCs w:val="18"/>
              </w:rPr>
              <w:t xml:space="preserve">06-22 uur</w:t>
            </w:r>
          </w:p>
        </w:tc>
        <w:tc>
          <w:tcPr>
            <w:tcW w:type="dxa" w:w="1400"/>
            <w:tcMar>
              <w:top w:type="dxa" w:w="50"/>
              <w:left w:type="dxa" w:w="100"/>
              <w:bottom w:type="dxa" w:w="50"/>
              <w:right w:type="dxa" w:w="100"/>
            </w:tcMar>
          </w:tcPr>
          <w:p>
            <w:r>
              <w:rPr>
                <w:sz w:val="18"/>
                <w:szCs w:val="18"/>
              </w:rPr>
              <w:t xml:space="preserve">1,1</w:t>
            </w:r>
          </w:p>
        </w:tc>
        <w:tc>
          <w:tcPr>
            <w:tcW w:type="dxa" w:w="1700"/>
            <w:tcMar>
              <w:top w:type="dxa" w:w="50"/>
              <w:left w:type="dxa" w:w="100"/>
              <w:bottom w:type="dxa" w:w="50"/>
              <w:right w:type="dxa" w:w="100"/>
            </w:tcMar>
          </w:tcPr>
          <w:p>
            <w:r>
              <w:rPr>
                <w:sz w:val="18"/>
                <w:szCs w:val="18"/>
              </w:rPr>
              <w:t xml:space="preserve">nacht</w:t>
            </w:r>
          </w:p>
        </w:tc>
        <w:tc>
          <w:tcPr>
            <w:tcW w:type="dxa" w:w="1400"/>
            <w:tcMar>
              <w:top w:type="dxa" w:w="50"/>
              <w:left w:type="dxa" w:w="100"/>
              <w:bottom w:type="dxa" w:w="50"/>
              <w:right w:type="dxa" w:w="100"/>
            </w:tcMar>
          </w:tcPr>
          <w:p>
            <w:r>
              <w:rPr>
                <w:sz w:val="18"/>
                <w:szCs w:val="18"/>
              </w:rPr>
              <w:t xml:space="preserve">0,5</w:t>
            </w:r>
          </w:p>
        </w:tc>
      </w:tr>
      <w:tr>
        <w:tc>
          <w:tcPr>
            <w:tcW w:type="dxa" w:w="2100"/>
            <w:tcMar>
              <w:top w:type="dxa" w:w="50"/>
              <w:left w:type="dxa" w:w="100"/>
              <w:bottom w:type="dxa" w:w="50"/>
              <w:right w:type="dxa" w:w="100"/>
            </w:tcMar>
          </w:tcPr>
          <w:p>
            <w:r>
              <w:rPr>
                <w:sz w:val="18"/>
                <w:szCs w:val="18"/>
              </w:rPr>
              <w:t xml:space="preserve">Openbaar</w:t>
            </w:r>
          </w:p>
        </w:tc>
        <w:tc>
          <w:tcPr>
            <w:tcW w:type="dxa" w:w="2100"/>
            <w:tcMar>
              <w:top w:type="dxa" w:w="50"/>
              <w:left w:type="dxa" w:w="100"/>
              <w:bottom w:type="dxa" w:w="50"/>
              <w:right w:type="dxa" w:w="100"/>
            </w:tcMar>
          </w:tcPr>
          <w:p>
            <w:r>
              <w:rPr>
                <w:sz w:val="18"/>
                <w:szCs w:val="18"/>
              </w:rPr>
              <w:t xml:space="preserve">09-18 uur</w:t>
            </w:r>
          </w:p>
        </w:tc>
        <w:tc>
          <w:tcPr>
            <w:tcW w:type="dxa" w:w="1400"/>
            <w:tcMar>
              <w:top w:type="dxa" w:w="50"/>
              <w:left w:type="dxa" w:w="100"/>
              <w:bottom w:type="dxa" w:w="50"/>
              <w:right w:type="dxa" w:w="100"/>
            </w:tcMar>
          </w:tcPr>
          <w:p>
            <w:r>
              <w:rPr>
                <w:sz w:val="18"/>
                <w:szCs w:val="18"/>
              </w:rPr>
              <w:t xml:space="preserve">0,9</w:t>
            </w:r>
          </w:p>
        </w:tc>
        <w:tc>
          <w:tcPr>
            <w:tcW w:type="dxa" w:w="1700"/>
            <w:tcMar>
              <w:top w:type="dxa" w:w="50"/>
              <w:left w:type="dxa" w:w="100"/>
              <w:bottom w:type="dxa" w:w="50"/>
              <w:right w:type="dxa" w:w="100"/>
            </w:tcMar>
          </w:tcPr>
          <w:p>
            <w:r>
              <w:rPr>
                <w:sz w:val="18"/>
                <w:szCs w:val="18"/>
              </w:rPr>
              <w:t xml:space="preserve">nacht</w:t>
            </w:r>
          </w:p>
        </w:tc>
        <w:tc>
          <w:tcPr>
            <w:tcW w:type="dxa" w:w="1400"/>
            <w:tcMar>
              <w:top w:type="dxa" w:w="50"/>
              <w:left w:type="dxa" w:w="100"/>
              <w:bottom w:type="dxa" w:w="50"/>
              <w:right w:type="dxa" w:w="100"/>
            </w:tcMar>
          </w:tcPr>
          <w:p>
            <w:r>
              <w:rPr>
                <w:sz w:val="18"/>
                <w:szCs w:val="18"/>
              </w:rPr>
              <w:t xml:space="preserve">0,1</w:t>
            </w:r>
          </w:p>
        </w:tc>
      </w:tr>
    </w:tbl>
    <w:p>
      <w:pPr>
        <w:spacing w:after="80"/>
      </w:pPr>
    </w:p>
    <w:p>
      <w:pPr>
        <w:spacing w:after="120"/>
      </w:pPr>
      <w:r>
        <w:t xml:space="preserve">Locatiekeuze wordt zo strategie: een mix van dag- en nachtlocaties geeft een stabiele geldstroom. Op de kaart tonen tegels een druk- of rustig-label.</w:t>
      </w:r>
    </w:p>
    <w:p>
      <w:pPr>
        <w:pStyle w:val="Heading1"/>
        <w:spacing w:after="160" w:before="340"/>
      </w:pPr>
      <w:r>
        <w:t xml:space="preserve">6. Events</w:t>
      </w:r>
    </w:p>
    <w:p>
      <w:pPr>
        <w:spacing w:after="120"/>
      </w:pPr>
      <w:r>
        <w:t xml:space="preserve">Elke 60 tot 120 seconden vuurt een willekeurig event. Alle events zijn positief of kosteloos, conform de designfilosofie: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1800"/>
      </w:tblGrid>
      <w:tr>
        <w:trPr>
          <w:tblHeader/>
        </w:trPr>
        <w:tc>
          <w:tcPr>
            <w:tcW w:type="dxa" w:w="2000"/>
            <w:shd w:fill="1F3864" w:val="clear"/>
            <w:tcMar>
              <w:top w:type="dxa" w:w="60"/>
              <w:left w:type="dxa" w:w="100"/>
              <w:bottom w:type="dxa" w:w="60"/>
              <w:right w:type="dxa" w:w="100"/>
            </w:tcMar>
          </w:tcPr>
          <w:p>
            <w:r>
              <w:rPr>
                <w:b/>
                <w:bCs/>
                <w:color w:val="FFFFFF"/>
                <w:sz w:val="18"/>
                <w:szCs w:val="18"/>
              </w:rPr>
              <w:t xml:space="preserve">Event</w:t>
            </w:r>
          </w:p>
        </w:tc>
        <w:tc>
          <w:tcPr>
            <w:tcW w:type="dxa" w:w="5500"/>
            <w:shd w:fill="1F3864" w:val="clear"/>
            <w:tcMar>
              <w:top w:type="dxa" w:w="60"/>
              <w:left w:type="dxa" w:w="100"/>
              <w:bottom w:type="dxa" w:w="60"/>
              <w:right w:type="dxa" w:w="100"/>
            </w:tcMar>
          </w:tcPr>
          <w:p>
            <w:r>
              <w:rPr>
                <w:b/>
                <w:bCs/>
                <w:color w:val="FFFFFF"/>
                <w:sz w:val="18"/>
                <w:szCs w:val="18"/>
              </w:rPr>
              <w:t xml:space="preserve">Effect</w:t>
            </w:r>
          </w:p>
        </w:tc>
        <w:tc>
          <w:tcPr>
            <w:tcW w:type="dxa" w:w="1800"/>
            <w:shd w:fill="1F3864" w:val="clear"/>
            <w:tcMar>
              <w:top w:type="dxa" w:w="60"/>
              <w:left w:type="dxa" w:w="100"/>
              <w:bottom w:type="dxa" w:w="60"/>
              <w:right w:type="dxa" w:w="100"/>
            </w:tcMar>
          </w:tcPr>
          <w:p>
            <w:r>
              <w:rPr>
                <w:b/>
                <w:bCs/>
                <w:color w:val="FFFFFF"/>
                <w:sz w:val="18"/>
                <w:szCs w:val="18"/>
              </w:rPr>
              <w:t xml:space="preserve">Duur</w:t>
            </w:r>
          </w:p>
        </w:tc>
      </w:tr>
      <w:tr>
        <w:tc>
          <w:tcPr>
            <w:tcW w:type="dxa" w:w="2000"/>
            <w:tcMar>
              <w:top w:type="dxa" w:w="50"/>
              <w:left w:type="dxa" w:w="100"/>
              <w:bottom w:type="dxa" w:w="50"/>
              <w:right w:type="dxa" w:w="100"/>
            </w:tcMar>
          </w:tcPr>
          <w:p>
            <w:r>
              <w:rPr>
                <w:sz w:val="18"/>
                <w:szCs w:val="18"/>
              </w:rPr>
              <w:t xml:space="preserve">Koningsdag</w:t>
            </w:r>
          </w:p>
        </w:tc>
        <w:tc>
          <w:tcPr>
            <w:tcW w:type="dxa" w:w="5500"/>
            <w:tcMar>
              <w:top w:type="dxa" w:w="50"/>
              <w:left w:type="dxa" w:w="100"/>
              <w:bottom w:type="dxa" w:w="50"/>
              <w:right w:type="dxa" w:w="100"/>
            </w:tcMar>
          </w:tcPr>
          <w:p>
            <w:r>
              <w:rPr>
                <w:sz w:val="18"/>
                <w:szCs w:val="18"/>
              </w:rPr>
              <w:t xml:space="preserve">Alle automaten dubbele drukte</w:t>
            </w:r>
          </w:p>
        </w:tc>
        <w:tc>
          <w:tcPr>
            <w:tcW w:type="dxa" w:w="1800"/>
            <w:tcMar>
              <w:top w:type="dxa" w:w="50"/>
              <w:left w:type="dxa" w:w="100"/>
              <w:bottom w:type="dxa" w:w="50"/>
              <w:right w:type="dxa" w:w="100"/>
            </w:tcMar>
          </w:tcPr>
          <w:p>
            <w:r>
              <w:rPr>
                <w:sz w:val="18"/>
                <w:szCs w:val="18"/>
              </w:rPr>
              <w:t xml:space="preserve">45 sec</w:t>
            </w:r>
          </w:p>
        </w:tc>
      </w:tr>
      <w:tr>
        <w:tc>
          <w:tcPr>
            <w:tcW w:type="dxa" w:w="2000"/>
            <w:tcMar>
              <w:top w:type="dxa" w:w="50"/>
              <w:left w:type="dxa" w:w="100"/>
              <w:bottom w:type="dxa" w:w="50"/>
              <w:right w:type="dxa" w:w="100"/>
            </w:tcMar>
          </w:tcPr>
          <w:p>
            <w:r>
              <w:rPr>
                <w:sz w:val="18"/>
                <w:szCs w:val="18"/>
              </w:rPr>
              <w:t xml:space="preserve">Festivalweekend</w:t>
            </w:r>
          </w:p>
        </w:tc>
        <w:tc>
          <w:tcPr>
            <w:tcW w:type="dxa" w:w="5500"/>
            <w:tcMar>
              <w:top w:type="dxa" w:w="50"/>
              <w:left w:type="dxa" w:w="100"/>
              <w:bottom w:type="dxa" w:w="50"/>
              <w:right w:type="dxa" w:w="100"/>
            </w:tcMar>
          </w:tcPr>
          <w:p>
            <w:r>
              <w:rPr>
                <w:sz w:val="18"/>
                <w:szCs w:val="18"/>
              </w:rPr>
              <w:t xml:space="preserve">Een toeristische locatie drukte x3</w:t>
            </w:r>
          </w:p>
        </w:tc>
        <w:tc>
          <w:tcPr>
            <w:tcW w:type="dxa" w:w="1800"/>
            <w:tcMar>
              <w:top w:type="dxa" w:w="50"/>
              <w:left w:type="dxa" w:w="100"/>
              <w:bottom w:type="dxa" w:w="50"/>
              <w:right w:type="dxa" w:w="100"/>
            </w:tcMar>
          </w:tcPr>
          <w:p>
            <w:r>
              <w:rPr>
                <w:sz w:val="18"/>
                <w:szCs w:val="18"/>
              </w:rPr>
              <w:t xml:space="preserve">60 sec</w:t>
            </w:r>
          </w:p>
        </w:tc>
      </w:tr>
      <w:tr>
        <w:tc>
          <w:tcPr>
            <w:tcW w:type="dxa" w:w="2000"/>
            <w:tcMar>
              <w:top w:type="dxa" w:w="50"/>
              <w:left w:type="dxa" w:w="100"/>
              <w:bottom w:type="dxa" w:w="50"/>
              <w:right w:type="dxa" w:w="100"/>
            </w:tcMar>
          </w:tcPr>
          <w:p>
            <w:r>
              <w:rPr>
                <w:sz w:val="18"/>
                <w:szCs w:val="18"/>
              </w:rPr>
              <w:t xml:space="preserve">Plofkraakpoging</w:t>
            </w:r>
          </w:p>
        </w:tc>
        <w:tc>
          <w:tcPr>
            <w:tcW w:type="dxa" w:w="5500"/>
            <w:tcMar>
              <w:top w:type="dxa" w:w="50"/>
              <w:left w:type="dxa" w:w="100"/>
              <w:bottom w:type="dxa" w:w="50"/>
              <w:right w:type="dxa" w:w="100"/>
            </w:tcMar>
          </w:tcPr>
          <w:p>
            <w:r>
              <w:rPr>
                <w:sz w:val="18"/>
                <w:szCs w:val="18"/>
              </w:rPr>
              <w:t xml:space="preserve">Met IBNS: afgeslagen, verzekering keert 100 + 60 per level uit. Zonder IBNS: automaat een reparatiecyclus offline plus tip om beveiliging te kopen</w:t>
            </w:r>
          </w:p>
        </w:tc>
        <w:tc>
          <w:tcPr>
            <w:tcW w:type="dxa" w:w="1800"/>
            <w:tcMar>
              <w:top w:type="dxa" w:w="50"/>
              <w:left w:type="dxa" w:w="100"/>
              <w:bottom w:type="dxa" w:w="50"/>
              <w:right w:type="dxa" w:w="100"/>
            </w:tcMar>
          </w:tcPr>
          <w:p>
            <w:r>
              <w:rPr>
                <w:sz w:val="18"/>
                <w:szCs w:val="18"/>
              </w:rPr>
              <w:t xml:space="preserve">instant</w:t>
            </w:r>
          </w:p>
        </w:tc>
      </w:tr>
      <w:tr>
        <w:tc>
          <w:tcPr>
            <w:tcW w:type="dxa" w:w="2000"/>
            <w:tcMar>
              <w:top w:type="dxa" w:w="50"/>
              <w:left w:type="dxa" w:w="100"/>
              <w:bottom w:type="dxa" w:w="50"/>
              <w:right w:type="dxa" w:w="100"/>
            </w:tcMar>
          </w:tcPr>
          <w:p>
            <w:r>
              <w:rPr>
                <w:sz w:val="18"/>
                <w:szCs w:val="18"/>
              </w:rPr>
              <w:t xml:space="preserve">Stroomstoring</w:t>
            </w:r>
          </w:p>
        </w:tc>
        <w:tc>
          <w:tcPr>
            <w:tcW w:type="dxa" w:w="5500"/>
            <w:tcMar>
              <w:top w:type="dxa" w:w="50"/>
              <w:left w:type="dxa" w:w="100"/>
              <w:bottom w:type="dxa" w:w="50"/>
              <w:right w:type="dxa" w:w="100"/>
            </w:tcMar>
          </w:tcPr>
          <w:p>
            <w:r>
              <w:rPr>
                <w:sz w:val="18"/>
                <w:szCs w:val="18"/>
              </w:rPr>
              <w:t xml:space="preserve">Een automaat 20 seconden offline, geen kosten</w:t>
            </w:r>
          </w:p>
        </w:tc>
        <w:tc>
          <w:tcPr>
            <w:tcW w:type="dxa" w:w="1800"/>
            <w:tcMar>
              <w:top w:type="dxa" w:w="50"/>
              <w:left w:type="dxa" w:w="100"/>
              <w:bottom w:type="dxa" w:w="50"/>
              <w:right w:type="dxa" w:w="100"/>
            </w:tcMar>
          </w:tcPr>
          <w:p>
            <w:r>
              <w:rPr>
                <w:sz w:val="18"/>
                <w:szCs w:val="18"/>
              </w:rPr>
              <w:t xml:space="preserve">20 sec</w:t>
            </w:r>
          </w:p>
        </w:tc>
      </w:tr>
    </w:tbl>
    <w:p>
      <w:pPr>
        <w:spacing w:after="80"/>
      </w:pPr>
    </w:p>
    <w:p>
      <w:pPr>
        <w:spacing w:after="120"/>
      </w:pPr>
      <w:r>
        <w:t xml:space="preserve">Actieve events staan in een banner met aftelling boven de kaart.</w:t>
      </w:r>
    </w:p>
    <w:p>
      <w:pPr>
        <w:pStyle w:val="Heading1"/>
        <w:spacing w:after="160" w:before="340"/>
      </w:pPr>
      <w:r>
        <w:t xml:space="preserve">7. Upgrades en personeel</w:t>
      </w:r>
    </w:p>
    <w:p>
      <w:pPr>
        <w:pStyle w:val="Heading2"/>
        <w:spacing w:after="120" w:before="260"/>
      </w:pPr>
      <w:r>
        <w:t xml:space="preserve">7.1 Netwerk-upgrades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200"/>
        <w:gridCol w:w="900"/>
        <w:gridCol w:w="600"/>
      </w:tblGrid>
      <w:tr>
        <w:trPr>
          <w:tblHeader/>
        </w:trPr>
        <w:tc>
          <w:tcPr>
            <w:tcW w:type="dxa" w:w="2600"/>
            <w:shd w:fill="1F3864" w:val="clear"/>
            <w:tcMar>
              <w:top w:type="dxa" w:w="60"/>
              <w:left w:type="dxa" w:w="100"/>
              <w:bottom w:type="dxa" w:w="60"/>
              <w:right w:type="dxa" w:w="100"/>
            </w:tcMar>
          </w:tcPr>
          <w:p>
            <w:r>
              <w:rPr>
                <w:b/>
                <w:bCs/>
                <w:color w:val="FFFFFF"/>
                <w:sz w:val="18"/>
                <w:szCs w:val="18"/>
              </w:rPr>
              <w:t xml:space="preserve">Upgrade</w:t>
            </w:r>
          </w:p>
        </w:tc>
        <w:tc>
          <w:tcPr>
            <w:tcW w:type="dxa" w:w="3400"/>
            <w:shd w:fill="1F3864" w:val="clear"/>
            <w:tcMar>
              <w:top w:type="dxa" w:w="60"/>
              <w:left w:type="dxa" w:w="100"/>
              <w:bottom w:type="dxa" w:w="60"/>
              <w:right w:type="dxa" w:w="100"/>
            </w:tcMar>
          </w:tcPr>
          <w:p>
            <w:r>
              <w:rPr>
                <w:b/>
                <w:bCs/>
                <w:color w:val="FFFFFF"/>
                <w:sz w:val="18"/>
                <w:szCs w:val="18"/>
              </w:rPr>
              <w:t xml:space="preserve">Effect per level</w:t>
            </w:r>
          </w:p>
        </w:tc>
        <w:tc>
          <w:tcPr>
            <w:tcW w:type="dxa" w:w="1200"/>
            <w:shd w:fill="1F3864" w:val="clear"/>
            <w:tcMar>
              <w:top w:type="dxa" w:w="60"/>
              <w:left w:type="dxa" w:w="100"/>
              <w:bottom w:type="dxa" w:w="60"/>
              <w:right w:type="dxa" w:w="100"/>
            </w:tcMar>
          </w:tcPr>
          <w:p>
            <w:r>
              <w:rPr>
                <w:b/>
                <w:bCs/>
                <w:color w:val="FFFFFF"/>
                <w:sz w:val="18"/>
                <w:szCs w:val="18"/>
              </w:rPr>
              <w:t xml:space="preserve">Basisprijs</w:t>
            </w:r>
          </w:p>
        </w:tc>
        <w:tc>
          <w:tcPr>
            <w:tcW w:type="dxa" w:w="900"/>
            <w:shd w:fill="1F3864" w:val="clear"/>
            <w:tcMar>
              <w:top w:type="dxa" w:w="60"/>
              <w:left w:type="dxa" w:w="100"/>
              <w:bottom w:type="dxa" w:w="60"/>
              <w:right w:type="dxa" w:w="100"/>
            </w:tcMar>
          </w:tcPr>
          <w:p>
            <w:r>
              <w:rPr>
                <w:b/>
                <w:bCs/>
                <w:color w:val="FFFFFF"/>
                <w:sz w:val="18"/>
                <w:szCs w:val="18"/>
              </w:rPr>
              <w:t xml:space="preserve">Groei</w:t>
            </w:r>
          </w:p>
        </w:tc>
        <w:tc>
          <w:tcPr>
            <w:tcW w:type="dxa" w:w="600"/>
            <w:shd w:fill="1F3864" w:val="clear"/>
            <w:tcMar>
              <w:top w:type="dxa" w:w="60"/>
              <w:left w:type="dxa" w:w="100"/>
              <w:bottom w:type="dxa" w:w="60"/>
              <w:right w:type="dxa" w:w="100"/>
            </w:tcMar>
          </w:tcPr>
          <w:p>
            <w:r>
              <w:rPr>
                <w:b/>
                <w:bCs/>
                <w:color w:val="FFFFFF"/>
                <w:sz w:val="18"/>
                <w:szCs w:val="18"/>
              </w:rPr>
              <w:t xml:space="preserve">Max</w:t>
            </w:r>
          </w:p>
        </w:tc>
      </w:tr>
      <w:tr>
        <w:tc>
          <w:tcPr>
            <w:tcW w:type="dxa" w:w="2600"/>
            <w:tcMar>
              <w:top w:type="dxa" w:w="50"/>
              <w:left w:type="dxa" w:w="100"/>
              <w:bottom w:type="dxa" w:w="50"/>
              <w:right w:type="dxa" w:w="100"/>
            </w:tcMar>
          </w:tcPr>
          <w:p>
            <w:r>
              <w:rPr>
                <w:sz w:val="18"/>
                <w:szCs w:val="18"/>
              </w:rPr>
              <w:t xml:space="preserve">Grotere cassettes</w:t>
            </w:r>
          </w:p>
        </w:tc>
        <w:tc>
          <w:tcPr>
            <w:tcW w:type="dxa" w:w="3400"/>
            <w:tcMar>
              <w:top w:type="dxa" w:w="50"/>
              <w:left w:type="dxa" w:w="100"/>
              <w:bottom w:type="dxa" w:w="50"/>
              <w:right w:type="dxa" w:w="100"/>
            </w:tcMar>
          </w:tcPr>
          <w:p>
            <w:r>
              <w:rPr>
                <w:sz w:val="18"/>
                <w:szCs w:val="18"/>
              </w:rPr>
              <w:t xml:space="preserve">+40% capaciteit (minder ritten)</w:t>
            </w:r>
          </w:p>
        </w:tc>
        <w:tc>
          <w:tcPr>
            <w:tcW w:type="dxa" w:w="1200"/>
            <w:tcMar>
              <w:top w:type="dxa" w:w="50"/>
              <w:left w:type="dxa" w:w="100"/>
              <w:bottom w:type="dxa" w:w="50"/>
              <w:right w:type="dxa" w:w="100"/>
            </w:tcMar>
          </w:tcPr>
          <w:p>
            <w:r>
              <w:rPr>
                <w:sz w:val="18"/>
                <w:szCs w:val="18"/>
              </w:rPr>
              <w:t xml:space="preserve">300</w:t>
            </w:r>
          </w:p>
        </w:tc>
        <w:tc>
          <w:tcPr>
            <w:tcW w:type="dxa" w:w="900"/>
            <w:tcMar>
              <w:top w:type="dxa" w:w="50"/>
              <w:left w:type="dxa" w:w="100"/>
              <w:bottom w:type="dxa" w:w="50"/>
              <w:right w:type="dxa" w:w="100"/>
            </w:tcMar>
          </w:tcPr>
          <w:p>
            <w:r>
              <w:rPr>
                <w:sz w:val="18"/>
                <w:szCs w:val="18"/>
              </w:rPr>
              <w:t xml:space="preserve">x2</w:t>
            </w:r>
          </w:p>
        </w:tc>
        <w:tc>
          <w:tcPr>
            <w:tcW w:type="dxa" w:w="600"/>
            <w:tcMar>
              <w:top w:type="dxa" w:w="50"/>
              <w:left w:type="dxa" w:w="100"/>
              <w:bottom w:type="dxa" w:w="50"/>
              <w:right w:type="dxa" w:w="100"/>
            </w:tcMar>
          </w:tcPr>
          <w:p>
            <w:r>
              <w:rPr>
                <w:sz w:val="18"/>
                <w:szCs w:val="18"/>
              </w:rPr>
              <w:t xml:space="preserve">5</w:t>
            </w:r>
          </w:p>
        </w:tc>
      </w:tr>
      <w:tr>
        <w:tc>
          <w:tcPr>
            <w:tcW w:type="dxa" w:w="2600"/>
            <w:tcMar>
              <w:top w:type="dxa" w:w="50"/>
              <w:left w:type="dxa" w:w="100"/>
              <w:bottom w:type="dxa" w:w="50"/>
              <w:right w:type="dxa" w:w="100"/>
            </w:tcMar>
          </w:tcPr>
          <w:p>
            <w:r>
              <w:rPr>
                <w:sz w:val="18"/>
                <w:szCs w:val="18"/>
              </w:rPr>
              <w:t xml:space="preserve">Beveiliging (IBNS)</w:t>
            </w:r>
          </w:p>
        </w:tc>
        <w:tc>
          <w:tcPr>
            <w:tcW w:type="dxa" w:w="3400"/>
            <w:tcMar>
              <w:top w:type="dxa" w:w="50"/>
              <w:left w:type="dxa" w:w="100"/>
              <w:bottom w:type="dxa" w:w="50"/>
              <w:right w:type="dxa" w:w="100"/>
            </w:tcMar>
          </w:tcPr>
          <w:p>
            <w:r>
              <w:rPr>
                <w:sz w:val="18"/>
                <w:szCs w:val="18"/>
              </w:rPr>
              <w:t xml:space="preserve">-12% slijtage, -8% voorrijkosten, hogere plofkraak-uitkering</w:t>
            </w:r>
          </w:p>
        </w:tc>
        <w:tc>
          <w:tcPr>
            <w:tcW w:type="dxa" w:w="1200"/>
            <w:tcMar>
              <w:top w:type="dxa" w:w="50"/>
              <w:left w:type="dxa" w:w="100"/>
              <w:bottom w:type="dxa" w:w="50"/>
              <w:right w:type="dxa" w:w="100"/>
            </w:tcMar>
          </w:tcPr>
          <w:p>
            <w:r>
              <w:rPr>
                <w:sz w:val="18"/>
                <w:szCs w:val="18"/>
              </w:rPr>
              <w:t xml:space="preserve">250</w:t>
            </w:r>
          </w:p>
        </w:tc>
        <w:tc>
          <w:tcPr>
            <w:tcW w:type="dxa" w:w="900"/>
            <w:tcMar>
              <w:top w:type="dxa" w:w="50"/>
              <w:left w:type="dxa" w:w="100"/>
              <w:bottom w:type="dxa" w:w="50"/>
              <w:right w:type="dxa" w:w="100"/>
            </w:tcMar>
          </w:tcPr>
          <w:p>
            <w:r>
              <w:rPr>
                <w:sz w:val="18"/>
                <w:szCs w:val="18"/>
              </w:rPr>
              <w:t xml:space="preserve">x2</w:t>
            </w:r>
          </w:p>
        </w:tc>
        <w:tc>
          <w:tcPr>
            <w:tcW w:type="dxa" w:w="600"/>
            <w:tcMar>
              <w:top w:type="dxa" w:w="50"/>
              <w:left w:type="dxa" w:w="100"/>
              <w:bottom w:type="dxa" w:w="50"/>
              <w:right w:type="dxa" w:w="100"/>
            </w:tcMar>
          </w:tcPr>
          <w:p>
            <w:r>
              <w:rPr>
                <w:sz w:val="18"/>
                <w:szCs w:val="18"/>
              </w:rPr>
              <w:t xml:space="preserve">5</w:t>
            </w:r>
          </w:p>
        </w:tc>
      </w:tr>
      <w:tr>
        <w:tc>
          <w:tcPr>
            <w:tcW w:type="dxa" w:w="2600"/>
            <w:tcMar>
              <w:top w:type="dxa" w:w="50"/>
              <w:left w:type="dxa" w:w="100"/>
              <w:bottom w:type="dxa" w:w="50"/>
              <w:right w:type="dxa" w:w="100"/>
            </w:tcMar>
          </w:tcPr>
          <w:p>
            <w:r>
              <w:rPr>
                <w:sz w:val="18"/>
                <w:szCs w:val="18"/>
              </w:rPr>
              <w:t xml:space="preserve">CIT routeoptimalisatie</w:t>
            </w:r>
          </w:p>
        </w:tc>
        <w:tc>
          <w:tcPr>
            <w:tcW w:type="dxa" w:w="3400"/>
            <w:tcMar>
              <w:top w:type="dxa" w:w="50"/>
              <w:left w:type="dxa" w:w="100"/>
              <w:bottom w:type="dxa" w:w="50"/>
              <w:right w:type="dxa" w:w="100"/>
            </w:tcMar>
          </w:tcPr>
          <w:p>
            <w:r>
              <w:rPr>
                <w:sz w:val="18"/>
                <w:szCs w:val="18"/>
              </w:rPr>
              <w:t xml:space="preserve">-15% ritkosten</w:t>
            </w:r>
          </w:p>
        </w:tc>
        <w:tc>
          <w:tcPr>
            <w:tcW w:type="dxa" w:w="1200"/>
            <w:tcMar>
              <w:top w:type="dxa" w:w="50"/>
              <w:left w:type="dxa" w:w="100"/>
              <w:bottom w:type="dxa" w:w="50"/>
              <w:right w:type="dxa" w:w="100"/>
            </w:tcMar>
          </w:tcPr>
          <w:p>
            <w:r>
              <w:rPr>
                <w:sz w:val="18"/>
                <w:szCs w:val="18"/>
              </w:rPr>
              <w:t xml:space="preserve">400</w:t>
            </w:r>
          </w:p>
        </w:tc>
        <w:tc>
          <w:tcPr>
            <w:tcW w:type="dxa" w:w="900"/>
            <w:tcMar>
              <w:top w:type="dxa" w:w="50"/>
              <w:left w:type="dxa" w:w="100"/>
              <w:bottom w:type="dxa" w:w="50"/>
              <w:right w:type="dxa" w:w="100"/>
            </w:tcMar>
          </w:tcPr>
          <w:p>
            <w:r>
              <w:rPr>
                <w:sz w:val="18"/>
                <w:szCs w:val="18"/>
              </w:rPr>
              <w:t xml:space="preserve">x2</w:t>
            </w:r>
          </w:p>
        </w:tc>
        <w:tc>
          <w:tcPr>
            <w:tcW w:type="dxa" w:w="600"/>
            <w:tcMar>
              <w:top w:type="dxa" w:w="50"/>
              <w:left w:type="dxa" w:w="100"/>
              <w:bottom w:type="dxa" w:w="50"/>
              <w:right w:type="dxa" w:w="100"/>
            </w:tcMar>
          </w:tcPr>
          <w:p>
            <w:r>
              <w:rPr>
                <w:sz w:val="18"/>
                <w:szCs w:val="18"/>
              </w:rPr>
              <w:t xml:space="preserve">4</w:t>
            </w:r>
          </w:p>
        </w:tc>
      </w:tr>
    </w:tbl>
    <w:p>
      <w:pPr>
        <w:spacing w:after="80"/>
      </w:pPr>
    </w:p>
    <w:p>
      <w:pPr>
        <w:pStyle w:val="Heading2"/>
        <w:spacing w:after="120" w:before="260"/>
      </w:pPr>
      <w:r>
        <w:t xml:space="preserve">7.2 Personeel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800"/>
      </w:tblGrid>
      <w:tr>
        <w:trPr>
          <w:tblHeader/>
        </w:trPr>
        <w:tc>
          <w:tcPr>
            <w:tcW w:type="dxa" w:w="2600"/>
            <w:shd w:fill="1F3864" w:val="clear"/>
            <w:tcMar>
              <w:top w:type="dxa" w:w="60"/>
              <w:left w:type="dxa" w:w="100"/>
              <w:bottom w:type="dxa" w:w="60"/>
              <w:right w:type="dxa" w:w="100"/>
            </w:tcMar>
          </w:tcPr>
          <w:p>
            <w:r>
              <w:rPr>
                <w:b/>
                <w:bCs/>
                <w:color w:val="FFFFFF"/>
                <w:sz w:val="18"/>
                <w:szCs w:val="18"/>
              </w:rPr>
              <w:t xml:space="preserve">Medewerker</w:t>
            </w:r>
          </w:p>
        </w:tc>
        <w:tc>
          <w:tcPr>
            <w:tcW w:type="dxa" w:w="4900"/>
            <w:shd w:fill="1F3864" w:val="clear"/>
            <w:tcMar>
              <w:top w:type="dxa" w:w="60"/>
              <w:left w:type="dxa" w:w="100"/>
              <w:bottom w:type="dxa" w:w="60"/>
              <w:right w:type="dxa" w:w="100"/>
            </w:tcMar>
          </w:tcPr>
          <w:p>
            <w:r>
              <w:rPr>
                <w:b/>
                <w:bCs/>
                <w:color w:val="FFFFFF"/>
                <w:sz w:val="18"/>
                <w:szCs w:val="18"/>
              </w:rPr>
              <w:t xml:space="preserve">Effect</w:t>
            </w:r>
          </w:p>
        </w:tc>
        <w:tc>
          <w:tcPr>
            <w:tcW w:type="dxa" w:w="1800"/>
            <w:shd w:fill="1F3864" w:val="clear"/>
            <w:tcMar>
              <w:top w:type="dxa" w:w="60"/>
              <w:left w:type="dxa" w:w="100"/>
              <w:bottom w:type="dxa" w:w="60"/>
              <w:right w:type="dxa" w:w="100"/>
            </w:tcMar>
          </w:tcPr>
          <w:p>
            <w:r>
              <w:rPr>
                <w:b/>
                <w:bCs/>
                <w:color w:val="FFFFFF"/>
                <w:sz w:val="18"/>
                <w:szCs w:val="18"/>
              </w:rPr>
              <w:t xml:space="preserve">Prijs</w:t>
            </w:r>
          </w:p>
        </w:tc>
      </w:tr>
      <w:tr>
        <w:tc>
          <w:tcPr>
            <w:tcW w:type="dxa" w:w="2600"/>
            <w:tcMar>
              <w:top w:type="dxa" w:w="50"/>
              <w:left w:type="dxa" w:w="100"/>
              <w:bottom w:type="dxa" w:w="50"/>
              <w:right w:type="dxa" w:w="100"/>
            </w:tcMar>
          </w:tcPr>
          <w:p>
            <w:r>
              <w:rPr>
                <w:sz w:val="18"/>
                <w:szCs w:val="18"/>
              </w:rPr>
              <w:t xml:space="preserve">Monteur Sven</w:t>
            </w:r>
          </w:p>
        </w:tc>
        <w:tc>
          <w:tcPr>
            <w:tcW w:type="dxa" w:w="4900"/>
            <w:tcMar>
              <w:top w:type="dxa" w:w="50"/>
              <w:left w:type="dxa" w:w="100"/>
              <w:bottom w:type="dxa" w:w="50"/>
              <w:right w:type="dxa" w:w="100"/>
            </w:tcMar>
          </w:tcPr>
          <w:p>
            <w:r>
              <w:rPr>
                <w:sz w:val="18"/>
                <w:szCs w:val="18"/>
              </w:rPr>
              <w:t xml:space="preserve">Reparaties 30 naar 12 seconden</w:t>
            </w:r>
          </w:p>
        </w:tc>
        <w:tc>
          <w:tcPr>
            <w:tcW w:type="dxa" w:w="1800"/>
            <w:tcMar>
              <w:top w:type="dxa" w:w="50"/>
              <w:left w:type="dxa" w:w="100"/>
              <w:bottom w:type="dxa" w:w="50"/>
              <w:right w:type="dxa" w:w="100"/>
            </w:tcMar>
          </w:tcPr>
          <w:p>
            <w:r>
              <w:rPr>
                <w:sz w:val="18"/>
                <w:szCs w:val="18"/>
              </w:rPr>
              <w:t xml:space="preserve">3.000</w:t>
            </w:r>
          </w:p>
        </w:tc>
      </w:tr>
      <w:tr>
        <w:tc>
          <w:tcPr>
            <w:tcW w:type="dxa" w:w="2600"/>
            <w:tcMar>
              <w:top w:type="dxa" w:w="50"/>
              <w:left w:type="dxa" w:w="100"/>
              <w:bottom w:type="dxa" w:w="50"/>
              <w:right w:type="dxa" w:w="100"/>
            </w:tcMar>
          </w:tcPr>
          <w:p>
            <w:r>
              <w:rPr>
                <w:sz w:val="18"/>
                <w:szCs w:val="18"/>
              </w:rPr>
              <w:t xml:space="preserve">CIT-planner Fatima</w:t>
            </w:r>
          </w:p>
        </w:tc>
        <w:tc>
          <w:tcPr>
            <w:tcW w:type="dxa" w:w="4900"/>
            <w:tcMar>
              <w:top w:type="dxa" w:w="50"/>
              <w:left w:type="dxa" w:w="100"/>
              <w:bottom w:type="dxa" w:w="50"/>
              <w:right w:type="dxa" w:w="100"/>
            </w:tcMar>
          </w:tcPr>
          <w:p>
            <w:r>
              <w:rPr>
                <w:sz w:val="18"/>
                <w:szCs w:val="18"/>
              </w:rPr>
              <w:t xml:space="preserve">Vult automatisch bij onder 15% cassette</w:t>
            </w:r>
          </w:p>
        </w:tc>
        <w:tc>
          <w:tcPr>
            <w:tcW w:type="dxa" w:w="1800"/>
            <w:tcMar>
              <w:top w:type="dxa" w:w="50"/>
              <w:left w:type="dxa" w:w="100"/>
              <w:bottom w:type="dxa" w:w="50"/>
              <w:right w:type="dxa" w:w="100"/>
            </w:tcMar>
          </w:tcPr>
          <w:p>
            <w:r>
              <w:rPr>
                <w:sz w:val="18"/>
                <w:szCs w:val="18"/>
              </w:rPr>
              <w:t xml:space="preserve">2.500</w:t>
            </w:r>
          </w:p>
        </w:tc>
      </w:tr>
      <w:tr>
        <w:tc>
          <w:tcPr>
            <w:tcW w:type="dxa" w:w="2600"/>
            <w:tcMar>
              <w:top w:type="dxa" w:w="50"/>
              <w:left w:type="dxa" w:w="100"/>
              <w:bottom w:type="dxa" w:w="50"/>
              <w:right w:type="dxa" w:w="100"/>
            </w:tcMar>
          </w:tcPr>
          <w:p>
            <w:r>
              <w:rPr>
                <w:sz w:val="18"/>
                <w:szCs w:val="18"/>
              </w:rPr>
              <w:t xml:space="preserve">Data-analist Kim</w:t>
            </w:r>
          </w:p>
        </w:tc>
        <w:tc>
          <w:tcPr>
            <w:tcW w:type="dxa" w:w="4900"/>
            <w:tcMar>
              <w:top w:type="dxa" w:w="50"/>
              <w:left w:type="dxa" w:w="100"/>
              <w:bottom w:type="dxa" w:w="50"/>
              <w:right w:type="dxa" w:w="100"/>
            </w:tcMar>
          </w:tcPr>
          <w:p>
            <w:r>
              <w:rPr>
                <w:sz w:val="18"/>
                <w:szCs w:val="18"/>
              </w:rPr>
              <w:t xml:space="preserve">+10% inkomen (denominatiemix)</w:t>
            </w:r>
          </w:p>
        </w:tc>
        <w:tc>
          <w:tcPr>
            <w:tcW w:type="dxa" w:w="1800"/>
            <w:tcMar>
              <w:top w:type="dxa" w:w="50"/>
              <w:left w:type="dxa" w:w="100"/>
              <w:bottom w:type="dxa" w:w="50"/>
              <w:right w:type="dxa" w:w="100"/>
            </w:tcMar>
          </w:tcPr>
          <w:p>
            <w:r>
              <w:rPr>
                <w:sz w:val="18"/>
                <w:szCs w:val="18"/>
              </w:rPr>
              <w:t xml:space="preserve">4.000</w:t>
            </w:r>
          </w:p>
        </w:tc>
      </w:tr>
      <w:tr>
        <w:tc>
          <w:tcPr>
            <w:tcW w:type="dxa" w:w="2600"/>
            <w:tcMar>
              <w:top w:type="dxa" w:w="50"/>
              <w:left w:type="dxa" w:w="100"/>
              <w:bottom w:type="dxa" w:w="50"/>
              <w:right w:type="dxa" w:w="100"/>
            </w:tcMar>
          </w:tcPr>
          <w:p>
            <w:r>
              <w:rPr>
                <w:sz w:val="18"/>
                <w:szCs w:val="18"/>
              </w:rPr>
              <w:t xml:space="preserve">Regiomanager Joris</w:t>
            </w:r>
          </w:p>
        </w:tc>
        <w:tc>
          <w:tcPr>
            <w:tcW w:type="dxa" w:w="4900"/>
            <w:tcMar>
              <w:top w:type="dxa" w:w="50"/>
              <w:left w:type="dxa" w:w="100"/>
              <w:bottom w:type="dxa" w:w="50"/>
              <w:right w:type="dxa" w:w="100"/>
            </w:tcMar>
          </w:tcPr>
          <w:p>
            <w:r>
              <w:rPr>
                <w:sz w:val="18"/>
                <w:szCs w:val="18"/>
              </w:rPr>
              <w:t xml:space="preserve">Offline inkomen 50 naar 75%</w:t>
            </w:r>
          </w:p>
        </w:tc>
        <w:tc>
          <w:tcPr>
            <w:tcW w:type="dxa" w:w="1800"/>
            <w:tcMar>
              <w:top w:type="dxa" w:w="50"/>
              <w:left w:type="dxa" w:w="100"/>
              <w:bottom w:type="dxa" w:w="50"/>
              <w:right w:type="dxa" w:w="100"/>
            </w:tcMar>
          </w:tcPr>
          <w:p>
            <w:r>
              <w:rPr>
                <w:sz w:val="18"/>
                <w:szCs w:val="18"/>
              </w:rPr>
              <w:t xml:space="preserve">5.000</w:t>
            </w:r>
          </w:p>
        </w:tc>
      </w:tr>
    </w:tbl>
    <w:p>
      <w:pPr>
        <w:pStyle w:val="Heading1"/>
        <w:spacing w:after="160" w:before="340"/>
      </w:pPr>
      <w:r>
        <w:t xml:space="preserve">8. Banken en contracten</w:t>
      </w:r>
    </w:p>
    <w:p>
      <w:pPr>
        <w:spacing w:after="120"/>
      </w:pPr>
      <w:r>
        <w:t xml:space="preserve">Elke opname gebeurt namens een bank; elke bank heeft een transactieaandeel en een tariefmultiplier. Contracten zijn heronderhandelbaar: +0,05 tarief per level, maximaal 5 levels, kosten 500 x 2^level. Contractlevels blijven behouden door prestige heen.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500"/>
        <w:gridCol w:w="3800"/>
      </w:tblGrid>
      <w:tr>
        <w:trPr>
          <w:tblHeader/>
        </w:trPr>
        <w:tc>
          <w:tcPr>
            <w:tcW w:type="dxa" w:w="1900"/>
            <w:shd w:fill="1F3864" w:val="clear"/>
            <w:tcMar>
              <w:top w:type="dxa" w:w="60"/>
              <w:left w:type="dxa" w:w="100"/>
              <w:bottom w:type="dxa" w:w="60"/>
              <w:right w:type="dxa" w:w="100"/>
            </w:tcMar>
          </w:tcPr>
          <w:p>
            <w:r>
              <w:rPr>
                <w:b/>
                <w:bCs/>
                <w:color w:val="FFFFFF"/>
                <w:sz w:val="18"/>
                <w:szCs w:val="18"/>
              </w:rPr>
              <w:t xml:space="preserve">Bank</w:t>
            </w:r>
          </w:p>
        </w:tc>
        <w:tc>
          <w:tcPr>
            <w:tcW w:type="dxa" w:w="2100"/>
            <w:shd w:fill="1F3864" w:val="clear"/>
            <w:tcMar>
              <w:top w:type="dxa" w:w="60"/>
              <w:left w:type="dxa" w:w="100"/>
              <w:bottom w:type="dxa" w:w="60"/>
              <w:right w:type="dxa" w:w="100"/>
            </w:tcMar>
          </w:tcPr>
          <w:p>
            <w:r>
              <w:rPr>
                <w:b/>
                <w:bCs/>
                <w:color w:val="FFFFFF"/>
                <w:sz w:val="18"/>
                <w:szCs w:val="18"/>
              </w:rPr>
              <w:t xml:space="preserve">Aandeel</w:t>
            </w:r>
          </w:p>
        </w:tc>
        <w:tc>
          <w:tcPr>
            <w:tcW w:type="dxa" w:w="1500"/>
            <w:shd w:fill="1F3864" w:val="clear"/>
            <w:tcMar>
              <w:top w:type="dxa" w:w="60"/>
              <w:left w:type="dxa" w:w="100"/>
              <w:bottom w:type="dxa" w:w="60"/>
              <w:right w:type="dxa" w:w="100"/>
            </w:tcMar>
          </w:tcPr>
          <w:p>
            <w:r>
              <w:rPr>
                <w:b/>
                <w:bCs/>
                <w:color w:val="FFFFFF"/>
                <w:sz w:val="18"/>
                <w:szCs w:val="18"/>
              </w:rPr>
              <w:t xml:space="preserve">Basistarief</w:t>
            </w:r>
          </w:p>
        </w:tc>
        <w:tc>
          <w:tcPr>
            <w:tcW w:type="dxa" w:w="3800"/>
            <w:shd w:fill="1F3864" w:val="clear"/>
            <w:tcMar>
              <w:top w:type="dxa" w:w="60"/>
              <w:left w:type="dxa" w:w="100"/>
              <w:bottom w:type="dxa" w:w="60"/>
              <w:right w:type="dxa" w:w="100"/>
            </w:tcMar>
          </w:tcPr>
          <w:p>
            <w:r>
              <w:rPr>
                <w:b/>
                <w:bCs/>
                <w:color w:val="FFFFFF"/>
                <w:sz w:val="18"/>
                <w:szCs w:val="18"/>
              </w:rPr>
              <w:t xml:space="preserve">Bijzonderheid</w:t>
            </w:r>
          </w:p>
        </w:tc>
      </w:tr>
      <w:tr>
        <w:tc>
          <w:tcPr>
            <w:tcW w:type="dxa" w:w="1900"/>
            <w:tcMar>
              <w:top w:type="dxa" w:w="50"/>
              <w:left w:type="dxa" w:w="100"/>
              <w:bottom w:type="dxa" w:w="50"/>
              <w:right w:type="dxa" w:w="100"/>
            </w:tcMar>
          </w:tcPr>
          <w:p>
            <w:r>
              <w:rPr>
                <w:sz w:val="18"/>
                <w:szCs w:val="18"/>
              </w:rPr>
              <w:t xml:space="preserve">Bank Oranje</w:t>
            </w:r>
          </w:p>
        </w:tc>
        <w:tc>
          <w:tcPr>
            <w:tcW w:type="dxa" w:w="2100"/>
            <w:tcMar>
              <w:top w:type="dxa" w:w="50"/>
              <w:left w:type="dxa" w:w="100"/>
              <w:bottom w:type="dxa" w:w="50"/>
              <w:right w:type="dxa" w:w="100"/>
            </w:tcMar>
          </w:tcPr>
          <w:p>
            <w:r>
              <w:rPr>
                <w:sz w:val="18"/>
                <w:szCs w:val="18"/>
              </w:rPr>
              <w:t xml:space="preserve">50%</w:t>
            </w:r>
          </w:p>
        </w:tc>
        <w:tc>
          <w:tcPr>
            <w:tcW w:type="dxa" w:w="1500"/>
            <w:tcMar>
              <w:top w:type="dxa" w:w="50"/>
              <w:left w:type="dxa" w:w="100"/>
              <w:bottom w:type="dxa" w:w="50"/>
              <w:right w:type="dxa" w:w="100"/>
            </w:tcMar>
          </w:tcPr>
          <w:p>
            <w:r>
              <w:rPr>
                <w:sz w:val="18"/>
                <w:szCs w:val="18"/>
              </w:rPr>
              <w:t xml:space="preserve">x0,90</w:t>
            </w:r>
          </w:p>
        </w:tc>
        <w:tc>
          <w:tcPr>
            <w:tcW w:type="dxa" w:w="3800"/>
            <w:tcMar>
              <w:top w:type="dxa" w:w="50"/>
              <w:left w:type="dxa" w:w="100"/>
              <w:bottom w:type="dxa" w:w="50"/>
              <w:right w:type="dxa" w:w="100"/>
            </w:tcMar>
          </w:tcPr>
          <w:p>
            <w:r>
              <w:rPr>
                <w:sz w:val="18"/>
                <w:szCs w:val="18"/>
              </w:rPr>
              <w:t xml:space="preserve">grootste volume</w:t>
            </w:r>
          </w:p>
        </w:tc>
      </w:tr>
      <w:tr>
        <w:tc>
          <w:tcPr>
            <w:tcW w:type="dxa" w:w="1900"/>
            <w:tcMar>
              <w:top w:type="dxa" w:w="50"/>
              <w:left w:type="dxa" w:w="100"/>
              <w:bottom w:type="dxa" w:w="50"/>
              <w:right w:type="dxa" w:w="100"/>
            </w:tcMar>
          </w:tcPr>
          <w:p>
            <w:r>
              <w:rPr>
                <w:sz w:val="18"/>
                <w:szCs w:val="18"/>
              </w:rPr>
              <w:t xml:space="preserve">Rivierbank</w:t>
            </w:r>
          </w:p>
        </w:tc>
        <w:tc>
          <w:tcPr>
            <w:tcW w:type="dxa" w:w="2100"/>
            <w:tcMar>
              <w:top w:type="dxa" w:w="50"/>
              <w:left w:type="dxa" w:w="100"/>
              <w:bottom w:type="dxa" w:w="50"/>
              <w:right w:type="dxa" w:w="100"/>
            </w:tcMar>
          </w:tcPr>
          <w:p>
            <w:r>
              <w:rPr>
                <w:sz w:val="18"/>
                <w:szCs w:val="18"/>
              </w:rPr>
              <w:t xml:space="preserve">30%</w:t>
            </w:r>
          </w:p>
        </w:tc>
        <w:tc>
          <w:tcPr>
            <w:tcW w:type="dxa" w:w="1500"/>
            <w:tcMar>
              <w:top w:type="dxa" w:w="50"/>
              <w:left w:type="dxa" w:w="100"/>
              <w:bottom w:type="dxa" w:w="50"/>
              <w:right w:type="dxa" w:w="100"/>
            </w:tcMar>
          </w:tcPr>
          <w:p>
            <w:r>
              <w:rPr>
                <w:sz w:val="18"/>
                <w:szCs w:val="18"/>
              </w:rPr>
              <w:t xml:space="preserve">x1,10</w:t>
            </w:r>
          </w:p>
        </w:tc>
        <w:tc>
          <w:tcPr>
            <w:tcW w:type="dxa" w:w="3800"/>
            <w:tcMar>
              <w:top w:type="dxa" w:w="50"/>
              <w:left w:type="dxa" w:w="100"/>
              <w:bottom w:type="dxa" w:w="50"/>
              <w:right w:type="dxa" w:w="100"/>
            </w:tcMar>
          </w:tcPr>
          <w:p>
            <w:r>
              <w:rPr>
                <w:sz w:val="18"/>
                <w:szCs w:val="18"/>
              </w:rPr>
              <w:t xml:space="preserve">-</w:t>
            </w:r>
          </w:p>
        </w:tc>
      </w:tr>
      <w:tr>
        <w:tc>
          <w:tcPr>
            <w:tcW w:type="dxa" w:w="1900"/>
            <w:tcMar>
              <w:top w:type="dxa" w:w="50"/>
              <w:left w:type="dxa" w:w="100"/>
              <w:bottom w:type="dxa" w:w="50"/>
              <w:right w:type="dxa" w:w="100"/>
            </w:tcMar>
          </w:tcPr>
          <w:p>
            <w:r>
              <w:rPr>
                <w:sz w:val="18"/>
                <w:szCs w:val="18"/>
              </w:rPr>
              <w:t xml:space="preserve">Noorderbank</w:t>
            </w:r>
          </w:p>
        </w:tc>
        <w:tc>
          <w:tcPr>
            <w:tcW w:type="dxa" w:w="2100"/>
            <w:tcMar>
              <w:top w:type="dxa" w:w="50"/>
              <w:left w:type="dxa" w:w="100"/>
              <w:bottom w:type="dxa" w:w="50"/>
              <w:right w:type="dxa" w:w="100"/>
            </w:tcMar>
          </w:tcPr>
          <w:p>
            <w:r>
              <w:rPr>
                <w:sz w:val="18"/>
                <w:szCs w:val="18"/>
              </w:rPr>
              <w:t xml:space="preserve">20%</w:t>
            </w:r>
          </w:p>
        </w:tc>
        <w:tc>
          <w:tcPr>
            <w:tcW w:type="dxa" w:w="1500"/>
            <w:tcMar>
              <w:top w:type="dxa" w:w="50"/>
              <w:left w:type="dxa" w:w="100"/>
              <w:bottom w:type="dxa" w:w="50"/>
              <w:right w:type="dxa" w:w="100"/>
            </w:tcMar>
          </w:tcPr>
          <w:p>
            <w:r>
              <w:rPr>
                <w:sz w:val="18"/>
                <w:szCs w:val="18"/>
              </w:rPr>
              <w:t xml:space="preserve">x1,35</w:t>
            </w:r>
          </w:p>
        </w:tc>
        <w:tc>
          <w:tcPr>
            <w:tcW w:type="dxa" w:w="3800"/>
            <w:tcMar>
              <w:top w:type="dxa" w:w="50"/>
              <w:left w:type="dxa" w:w="100"/>
              <w:bottom w:type="dxa" w:w="50"/>
              <w:right w:type="dxa" w:w="100"/>
            </w:tcMar>
          </w:tcPr>
          <w:p>
            <w:r>
              <w:rPr>
                <w:sz w:val="18"/>
                <w:szCs w:val="18"/>
              </w:rPr>
              <w:t xml:space="preserve">-</w:t>
            </w:r>
          </w:p>
        </w:tc>
      </w:tr>
      <w:tr>
        <w:tc>
          <w:tcPr>
            <w:tcW w:type="dxa" w:w="1900"/>
            <w:tcMar>
              <w:top w:type="dxa" w:w="50"/>
              <w:left w:type="dxa" w:w="100"/>
              <w:bottom w:type="dxa" w:w="50"/>
              <w:right w:type="dxa" w:w="100"/>
            </w:tcMar>
          </w:tcPr>
          <w:p>
            <w:r>
              <w:rPr>
                <w:sz w:val="18"/>
                <w:szCs w:val="18"/>
              </w:rPr>
              <w:t xml:space="preserve">Zuiderbank</w:t>
            </w:r>
          </w:p>
        </w:tc>
        <w:tc>
          <w:tcPr>
            <w:tcW w:type="dxa" w:w="2100"/>
            <w:tcMar>
              <w:top w:type="dxa" w:w="50"/>
              <w:left w:type="dxa" w:w="100"/>
              <w:bottom w:type="dxa" w:w="50"/>
              <w:right w:type="dxa" w:w="100"/>
            </w:tcMar>
          </w:tcPr>
          <w:p>
            <w:r>
              <w:rPr>
                <w:sz w:val="18"/>
                <w:szCs w:val="18"/>
              </w:rPr>
              <w:t xml:space="preserve">15% (na aansluiting)</w:t>
            </w:r>
          </w:p>
        </w:tc>
        <w:tc>
          <w:tcPr>
            <w:tcW w:type="dxa" w:w="1500"/>
            <w:tcMar>
              <w:top w:type="dxa" w:w="50"/>
              <w:left w:type="dxa" w:w="100"/>
              <w:bottom w:type="dxa" w:w="50"/>
              <w:right w:type="dxa" w:w="100"/>
            </w:tcMar>
          </w:tcPr>
          <w:p>
            <w:r>
              <w:rPr>
                <w:sz w:val="18"/>
                <w:szCs w:val="18"/>
              </w:rPr>
              <w:t xml:space="preserve">x1,50</w:t>
            </w:r>
          </w:p>
        </w:tc>
        <w:tc>
          <w:tcPr>
            <w:tcW w:type="dxa" w:w="3800"/>
            <w:tcMar>
              <w:top w:type="dxa" w:w="50"/>
              <w:left w:type="dxa" w:w="100"/>
              <w:bottom w:type="dxa" w:w="50"/>
              <w:right w:type="dxa" w:w="100"/>
            </w:tcMar>
          </w:tcPr>
          <w:p>
            <w:r>
              <w:rPr>
                <w:sz w:val="18"/>
                <w:szCs w:val="18"/>
              </w:rPr>
              <w:t xml:space="preserve">Unlock vanaf level Regio voor 5.000; bestaande aandelen schalen x0,85</w:t>
            </w:r>
          </w:p>
        </w:tc>
      </w:tr>
    </w:tbl>
    <w:p>
      <w:pPr>
        <w:pStyle w:val="Heading1"/>
        <w:spacing w:after="160" w:before="340"/>
      </w:pPr>
      <w:r>
        <w:t xml:space="preserve">9. Progressie</w:t>
      </w:r>
    </w:p>
    <w:p>
      <w:pPr>
        <w:pStyle w:val="Heading2"/>
        <w:spacing w:after="120" w:before="260"/>
      </w:pPr>
      <w:r>
        <w:t xml:space="preserve">9.1 Levels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200"/>
      </w:tblGrid>
      <w:tr>
        <w:trPr>
          <w:tblHeader/>
        </w:trPr>
        <w:tc>
          <w:tcPr>
            <w:tcW w:type="dxa" w:w="2600"/>
            <w:shd w:fill="1F3864" w:val="clear"/>
            <w:tcMar>
              <w:top w:type="dxa" w:w="60"/>
              <w:left w:type="dxa" w:w="100"/>
              <w:bottom w:type="dxa" w:w="60"/>
              <w:right w:type="dxa" w:w="100"/>
            </w:tcMar>
          </w:tcPr>
          <w:p>
            <w:r>
              <w:rPr>
                <w:b/>
                <w:bCs/>
                <w:color w:val="FFFFFF"/>
                <w:sz w:val="18"/>
                <w:szCs w:val="18"/>
              </w:rPr>
              <w:t xml:space="preserve">Level</w:t>
            </w:r>
          </w:p>
        </w:tc>
        <w:tc>
          <w:tcPr>
            <w:tcW w:type="dxa" w:w="3600"/>
            <w:shd w:fill="1F3864" w:val="clear"/>
            <w:tcMar>
              <w:top w:type="dxa" w:w="60"/>
              <w:left w:type="dxa" w:w="100"/>
              <w:bottom w:type="dxa" w:w="60"/>
              <w:right w:type="dxa" w:w="100"/>
            </w:tcMar>
          </w:tcPr>
          <w:p>
            <w:r>
              <w:rPr>
                <w:b/>
                <w:bCs/>
                <w:color w:val="FFFFFF"/>
                <w:sz w:val="18"/>
                <w:szCs w:val="18"/>
              </w:rPr>
              <w:t xml:space="preserve">Drempel (totaal verdiend)</w:t>
            </w:r>
          </w:p>
        </w:tc>
        <w:tc>
          <w:tcPr>
            <w:tcW w:type="dxa" w:w="2200"/>
            <w:shd w:fill="1F3864" w:val="clear"/>
            <w:tcMar>
              <w:top w:type="dxa" w:w="60"/>
              <w:left w:type="dxa" w:w="100"/>
              <w:bottom w:type="dxa" w:w="60"/>
              <w:right w:type="dxa" w:w="100"/>
            </w:tcMar>
          </w:tcPr>
          <w:p>
            <w:r>
              <w:rPr>
                <w:b/>
                <w:bCs/>
                <w:color w:val="FFFFFF"/>
                <w:sz w:val="18"/>
                <w:szCs w:val="18"/>
              </w:rPr>
              <w:t xml:space="preserve">Locatiesloten</w:t>
            </w:r>
          </w:p>
        </w:tc>
      </w:tr>
      <w:tr>
        <w:tc>
          <w:tcPr>
            <w:tcW w:type="dxa" w:w="2600"/>
            <w:tcMar>
              <w:top w:type="dxa" w:w="50"/>
              <w:left w:type="dxa" w:w="100"/>
              <w:bottom w:type="dxa" w:w="50"/>
              <w:right w:type="dxa" w:w="100"/>
            </w:tcMar>
          </w:tcPr>
          <w:p>
            <w:r>
              <w:rPr>
                <w:sz w:val="18"/>
                <w:szCs w:val="18"/>
              </w:rPr>
              <w:t xml:space="preserve">Dorp</w:t>
            </w:r>
          </w:p>
        </w:tc>
        <w:tc>
          <w:tcPr>
            <w:tcW w:type="dxa" w:w="3600"/>
            <w:tcMar>
              <w:top w:type="dxa" w:w="50"/>
              <w:left w:type="dxa" w:w="100"/>
              <w:bottom w:type="dxa" w:w="50"/>
              <w:right w:type="dxa" w:w="100"/>
            </w:tcMar>
          </w:tcPr>
          <w:p>
            <w:r>
              <w:rPr>
                <w:sz w:val="18"/>
                <w:szCs w:val="18"/>
              </w:rPr>
              <w:t xml:space="preserve">start</w:t>
            </w:r>
          </w:p>
        </w:tc>
        <w:tc>
          <w:tcPr>
            <w:tcW w:type="dxa" w:w="2200"/>
            <w:tcMar>
              <w:top w:type="dxa" w:w="50"/>
              <w:left w:type="dxa" w:w="100"/>
              <w:bottom w:type="dxa" w:w="50"/>
              <w:right w:type="dxa" w:w="100"/>
            </w:tcMar>
          </w:tcPr>
          <w:p>
            <w:r>
              <w:rPr>
                <w:sz w:val="18"/>
                <w:szCs w:val="18"/>
              </w:rPr>
              <w:t xml:space="preserve">3</w:t>
            </w:r>
          </w:p>
        </w:tc>
      </w:tr>
      <w:tr>
        <w:tc>
          <w:tcPr>
            <w:tcW w:type="dxa" w:w="2600"/>
            <w:tcMar>
              <w:top w:type="dxa" w:w="50"/>
              <w:left w:type="dxa" w:w="100"/>
              <w:bottom w:type="dxa" w:w="50"/>
              <w:right w:type="dxa" w:w="100"/>
            </w:tcMar>
          </w:tcPr>
          <w:p>
            <w:r>
              <w:rPr>
                <w:sz w:val="18"/>
                <w:szCs w:val="18"/>
              </w:rPr>
              <w:t xml:space="preserve">Stad</w:t>
            </w:r>
          </w:p>
        </w:tc>
        <w:tc>
          <w:tcPr>
            <w:tcW w:type="dxa" w:w="3600"/>
            <w:tcMar>
              <w:top w:type="dxa" w:w="50"/>
              <w:left w:type="dxa" w:w="100"/>
              <w:bottom w:type="dxa" w:w="50"/>
              <w:right w:type="dxa" w:w="100"/>
            </w:tcMar>
          </w:tcPr>
          <w:p>
            <w:r>
              <w:rPr>
                <w:sz w:val="18"/>
                <w:szCs w:val="18"/>
              </w:rPr>
              <w:t xml:space="preserve">2.000</w:t>
            </w:r>
          </w:p>
        </w:tc>
        <w:tc>
          <w:tcPr>
            <w:tcW w:type="dxa" w:w="2200"/>
            <w:tcMar>
              <w:top w:type="dxa" w:w="50"/>
              <w:left w:type="dxa" w:w="100"/>
              <w:bottom w:type="dxa" w:w="50"/>
              <w:right w:type="dxa" w:w="100"/>
            </w:tcMar>
          </w:tcPr>
          <w:p>
            <w:r>
              <w:rPr>
                <w:sz w:val="18"/>
                <w:szCs w:val="18"/>
              </w:rPr>
              <w:t xml:space="preserve">6</w:t>
            </w:r>
          </w:p>
        </w:tc>
      </w:tr>
      <w:tr>
        <w:tc>
          <w:tcPr>
            <w:tcW w:type="dxa" w:w="2600"/>
            <w:tcMar>
              <w:top w:type="dxa" w:w="50"/>
              <w:left w:type="dxa" w:w="100"/>
              <w:bottom w:type="dxa" w:w="50"/>
              <w:right w:type="dxa" w:w="100"/>
            </w:tcMar>
          </w:tcPr>
          <w:p>
            <w:r>
              <w:rPr>
                <w:sz w:val="18"/>
                <w:szCs w:val="18"/>
              </w:rPr>
              <w:t xml:space="preserve">Regio</w:t>
            </w:r>
          </w:p>
        </w:tc>
        <w:tc>
          <w:tcPr>
            <w:tcW w:type="dxa" w:w="3600"/>
            <w:tcMar>
              <w:top w:type="dxa" w:w="50"/>
              <w:left w:type="dxa" w:w="100"/>
              <w:bottom w:type="dxa" w:w="50"/>
              <w:right w:type="dxa" w:w="100"/>
            </w:tcMar>
          </w:tcPr>
          <w:p>
            <w:r>
              <w:rPr>
                <w:sz w:val="18"/>
                <w:szCs w:val="18"/>
              </w:rPr>
              <w:t xml:space="preserve">8.000</w:t>
            </w:r>
          </w:p>
        </w:tc>
        <w:tc>
          <w:tcPr>
            <w:tcW w:type="dxa" w:w="2200"/>
            <w:tcMar>
              <w:top w:type="dxa" w:w="50"/>
              <w:left w:type="dxa" w:w="100"/>
              <w:bottom w:type="dxa" w:w="50"/>
              <w:right w:type="dxa" w:w="100"/>
            </w:tcMar>
          </w:tcPr>
          <w:p>
            <w:r>
              <w:rPr>
                <w:sz w:val="18"/>
                <w:szCs w:val="18"/>
              </w:rPr>
              <w:t xml:space="preserve">9</w:t>
            </w:r>
          </w:p>
        </w:tc>
      </w:tr>
      <w:tr>
        <w:tc>
          <w:tcPr>
            <w:tcW w:type="dxa" w:w="2600"/>
            <w:tcMar>
              <w:top w:type="dxa" w:w="50"/>
              <w:left w:type="dxa" w:w="100"/>
              <w:bottom w:type="dxa" w:w="50"/>
              <w:right w:type="dxa" w:w="100"/>
            </w:tcMar>
          </w:tcPr>
          <w:p>
            <w:r>
              <w:rPr>
                <w:sz w:val="18"/>
                <w:szCs w:val="18"/>
              </w:rPr>
              <w:t xml:space="preserve">Landelijk netwerk</w:t>
            </w:r>
          </w:p>
        </w:tc>
        <w:tc>
          <w:tcPr>
            <w:tcW w:type="dxa" w:w="3600"/>
            <w:tcMar>
              <w:top w:type="dxa" w:w="50"/>
              <w:left w:type="dxa" w:w="100"/>
              <w:bottom w:type="dxa" w:w="50"/>
              <w:right w:type="dxa" w:w="100"/>
            </w:tcMar>
          </w:tcPr>
          <w:p>
            <w:r>
              <w:rPr>
                <w:sz w:val="18"/>
                <w:szCs w:val="18"/>
              </w:rPr>
              <w:t xml:space="preserve">25.000</w:t>
            </w:r>
          </w:p>
        </w:tc>
        <w:tc>
          <w:tcPr>
            <w:tcW w:type="dxa" w:w="2200"/>
            <w:tcMar>
              <w:top w:type="dxa" w:w="50"/>
              <w:left w:type="dxa" w:w="100"/>
              <w:bottom w:type="dxa" w:w="50"/>
              <w:right w:type="dxa" w:w="100"/>
            </w:tcMar>
          </w:tcPr>
          <w:p>
            <w:r>
              <w:rPr>
                <w:sz w:val="18"/>
                <w:szCs w:val="18"/>
              </w:rPr>
              <w:t xml:space="preserve">12</w:t>
            </w:r>
          </w:p>
        </w:tc>
      </w:tr>
    </w:tbl>
    <w:p>
      <w:pPr>
        <w:spacing w:after="80"/>
      </w:pPr>
    </w:p>
    <w:p>
      <w:pPr>
        <w:pStyle w:val="Heading2"/>
        <w:spacing w:after="120" w:before="260"/>
      </w:pPr>
      <w:r>
        <w:t xml:space="preserve">9.2 Mijlpalen en doelen</w:t>
      </w:r>
    </w:p>
    <w:p>
      <w:pPr>
        <w:spacing w:after="120"/>
      </w:pPr>
      <w:r>
        <w:t xml:space="preserve">Zes mijlpalen op totaal verdiend (750 tot 25.000) keren cashbonussen uit (150 tot 3.000) met muntenregen. Daarnaast loopt een doorlopend bijvuldoel: vul N automaten bij voor een bonus; N groeit van 3 naar 8, de beloning met factor 1,6 per ronde.</w:t>
      </w:r>
    </w:p>
    <w:p>
      <w:pPr>
        <w:pStyle w:val="Heading2"/>
        <w:spacing w:after="120" w:before="260"/>
      </w:pPr>
      <w:r>
        <w:t xml:space="preserve">9.3 Prestige</w:t>
      </w:r>
    </w:p>
    <w:p>
      <w:pPr>
        <w:spacing w:after="120"/>
      </w:pPr>
      <w:r>
        <w:t xml:space="preserve">Vanaf 25.000 totaal verdiend kan de speler het netwerk verkopen: volledige reset tegen een permanente inkomensbonus van +25% per prestigelevel. De eerste prestige ontgrendelt het 100 euro biljet: +60% inkomen per transactie, maar cassettes lopen 40% sneller leeg (meer ritten, hogere float). Dubbele tikbevestiging verplicht. Bankcontractlevels blijven behouden.</w:t>
      </w:r>
    </w:p>
    <w:p>
      <w:pPr>
        <w:pStyle w:val="Heading2"/>
        <w:spacing w:after="120" w:before="260"/>
      </w:pPr>
      <w:r>
        <w:t xml:space="preserve">9.4 Offline inkomen</w:t>
      </w:r>
    </w:p>
    <w:p>
      <w:pPr>
        <w:spacing w:after="120"/>
      </w:pPr>
      <w:r>
        <w:t xml:space="preserve">Bij terugkeer krijgt de speler 50% van het normale inkomen over de afwezige tijd (75% met regiomanager), maximaal 1 uur, begrensd door cassette-inhoud en slijtage die ook offline doorlopen. In Flutter: tijdstempel persisteren zodat dit over dagen werkt.</w:t>
      </w:r>
    </w:p>
    <w:p>
      <w:pPr>
        <w:pStyle w:val="Heading1"/>
        <w:spacing w:after="160" w:before="340"/>
      </w:pPr>
      <w:r>
        <w:t xml:space="preserve">10. UI en visuele identiteit</w:t>
      </w:r>
    </w:p>
    <w:p>
      <w:pPr>
        <w:spacing w:after="120"/>
      </w:pPr>
      <w:r>
        <w:t xml:space="preserve">Stijlmotto: de warmte van de gele automaat, de precisie van een bankbiljet. Licht thema.</w:t>
      </w:r>
    </w:p>
    <w:p>
      <w:pPr>
        <w:pStyle w:val="ListParagraph"/>
        <w:numPr>
          <w:ilvl w:val="0"/>
          <w:numId w:val="2"/>
        </w:numPr>
        <w:spacing w:after="60"/>
      </w:pPr>
      <w:r>
        <w:t xml:space="preserve">Achtergrond warm licht beige (F2F0EA), kaarten wit, tekst donker (26221A).</w:t>
      </w:r>
    </w:p>
    <w:p>
      <w:pPr>
        <w:pStyle w:val="ListParagraph"/>
        <w:numPr>
          <w:ilvl w:val="0"/>
          <w:numId w:val="2"/>
        </w:numPr>
        <w:spacing w:after="60"/>
      </w:pPr>
      <w:r>
        <w:t xml:space="preserve">Signatuur: gele header (gradient FFD75E naar F5B91E) met guilloche-cirkelpatroon, daarin het saldo als donker LED-display met gloeiende cijfers (FFE27A) die vloeiend doortellen. Spelklok en netto inkomen per minuut in de header.</w:t>
      </w:r>
    </w:p>
    <w:p>
      <w:pPr>
        <w:pStyle w:val="ListParagraph"/>
        <w:numPr>
          <w:ilvl w:val="0"/>
          <w:numId w:val="2"/>
        </w:numPr>
        <w:spacing w:after="60"/>
      </w:pPr>
      <w:r>
        <w:t xml:space="preserve">Automaat-tegels zijn gele kasten in de headergradient, volle breedte, met automaat-anatomie: donker schermpje (status plus verdiend bedrag in LED-cijfers), pinpad van zes donkere toetsen, pasjessleuf en geldsleuf met donkere geleiders.</w:t>
      </w:r>
    </w:p>
    <w:p>
      <w:pPr>
        <w:pStyle w:val="ListParagraph"/>
        <w:numPr>
          <w:ilvl w:val="0"/>
          <w:numId w:val="2"/>
        </w:numPr>
        <w:spacing w:after="60"/>
      </w:pPr>
      <w:r>
        <w:t xml:space="preserve">Per kast: cassettebalk met biljettenteller (N van M) en leeg-over-X-minuten indicator (rood onder 1,5 min), slijtagebalk, en drie knoppen over de breedte: Servicing (groen, met ritprijs), Reparatie/Onderhoud (contextueel), Upgrade (donker met gele tekst, met prijs).</w:t>
      </w:r>
    </w:p>
    <w:p>
      <w:pPr>
        <w:pStyle w:val="ListParagraph"/>
        <w:numPr>
          <w:ilvl w:val="0"/>
          <w:numId w:val="2"/>
        </w:numPr>
        <w:spacing w:after="60"/>
      </w:pPr>
      <w:r>
        <w:t xml:space="preserve">Detail-sheet (bottom sheet met blur) voor detailcijfers; alle acties kunnen vanaf de kaart.</w:t>
      </w:r>
    </w:p>
    <w:p>
      <w:pPr>
        <w:pStyle w:val="ListParagraph"/>
        <w:numPr>
          <w:ilvl w:val="0"/>
          <w:numId w:val="2"/>
        </w:numPr>
        <w:spacing w:after="60"/>
      </w:pPr>
      <w:r>
        <w:t xml:space="preserve">Tabbar: Kaart, Upgrades, Financien, met SVG-iconen, frosted glass, storingsbadge op Kaart.</w:t>
      </w:r>
    </w:p>
    <w:p>
      <w:pPr>
        <w:pStyle w:val="ListParagraph"/>
        <w:numPr>
          <w:ilvl w:val="0"/>
          <w:numId w:val="2"/>
        </w:numPr>
        <w:spacing w:after="60"/>
      </w:pPr>
      <w:r>
        <w:t xml:space="preserve">Feedback: groene inkomsten-pills, blauwe DCC-pills, paarse recycling-pills, muntenregen bij mijlpalen, tactiele 3D-knoppen. Typografie Space Grotesk plus IBM Plex Mono voor cijfers. Reduced motion wordt gerespecteerd.</w:t>
      </w:r>
    </w:p>
    <w:p>
      <w:pPr>
        <w:pStyle w:val="Heading1"/>
        <w:spacing w:after="160" w:before="340"/>
      </w:pPr>
      <w:r>
        <w:t xml:space="preserve">11. Technische architectuur (Flutter)</w:t>
      </w:r>
    </w:p>
    <w:p>
      <w:pPr>
        <w:pStyle w:val="ListParagraph"/>
        <w:numPr>
          <w:ilvl w:val="0"/>
          <w:numId w:val="2"/>
        </w:numPr>
        <w:spacing w:after="60"/>
      </w:pPr>
      <w:r>
        <w:t xml:space="preserve">Een codebase voor Android en iOS; gewone Flutter widgets, geen game engine.</w:t>
      </w:r>
    </w:p>
    <w:p>
      <w:pPr>
        <w:pStyle w:val="ListParagraph"/>
        <w:numPr>
          <w:ilvl w:val="0"/>
          <w:numId w:val="2"/>
        </w:numPr>
        <w:spacing w:after="60"/>
      </w:pPr>
      <w:r>
        <w:t xml:space="preserve">State management: Riverpod. Een centraal GameState model met alle spelvariabelen.</w:t>
      </w:r>
    </w:p>
    <w:p>
      <w:pPr>
        <w:pStyle w:val="ListParagraph"/>
        <w:numPr>
          <w:ilvl w:val="0"/>
          <w:numId w:val="2"/>
        </w:numPr>
        <w:spacing w:after="60"/>
      </w:pPr>
      <w:r>
        <w:t xml:space="preserve">Tick-engine: 1 tick per seconde via Timer.periodic; bij app-start offline-tijd doorrekenen op basis van gepersisteerde tijdstempel.</w:t>
      </w:r>
    </w:p>
    <w:p>
      <w:pPr>
        <w:pStyle w:val="ListParagraph"/>
        <w:numPr>
          <w:ilvl w:val="0"/>
          <w:numId w:val="2"/>
        </w:numPr>
        <w:spacing w:after="60"/>
      </w:pPr>
      <w:r>
        <w:t xml:space="preserve">Persistentie: Hive voor game state plus tijdstempel; later cloud saves.</w:t>
      </w:r>
    </w:p>
    <w:p>
      <w:pPr>
        <w:pStyle w:val="ListParagraph"/>
        <w:numPr>
          <w:ilvl w:val="0"/>
          <w:numId w:val="2"/>
        </w:numPr>
        <w:spacing w:after="60"/>
      </w:pPr>
      <w:r>
        <w:t xml:space="preserve">Alle balanswaarden in een centraal constants-bestand, een-op-een gespiegeld aan het balancing-spreadsheet (atm-empire-balancing.xlsx), zodat tuning zonder codewijzigingen elders kan.</w:t>
      </w:r>
    </w:p>
    <w:p>
      <w:pPr>
        <w:pStyle w:val="ListParagraph"/>
        <w:numPr>
          <w:ilvl w:val="0"/>
          <w:numId w:val="2"/>
        </w:numPr>
        <w:spacing w:after="60"/>
      </w:pPr>
      <w:r>
        <w:t xml:space="preserve">Monetisatie (later): gratis met optionele rewarded ads voor snellere CIT, premium currency alleen voor cosmetica en tijdversnelling, eenmalige ad-free aankoop. Geen pay-to-win.</w:t>
      </w:r>
    </w:p>
    <w:p>
      <w:pPr>
        <w:pStyle w:val="Heading1"/>
        <w:spacing w:after="160" w:before="340"/>
      </w:pPr>
      <w:r>
        <w:t xml:space="preserve">12. Openstaande ontwerpkeuzes</w:t>
      </w:r>
    </w:p>
    <w:p>
      <w:pPr>
        <w:pStyle w:val="ListParagraph"/>
        <w:numPr>
          <w:ilvl w:val="0"/>
          <w:numId w:val="2"/>
        </w:numPr>
        <w:spacing w:after="60"/>
      </w:pPr>
      <w:r>
        <w:t xml:space="preserve">Ritten bundelen: vul-alles-bij tegen gereduceerd tarief per automaat zodra routeoptimalisatie actief is.</w:t>
      </w:r>
    </w:p>
    <w:p>
      <w:pPr>
        <w:pStyle w:val="ListParagraph"/>
        <w:numPr>
          <w:ilvl w:val="0"/>
          <w:numId w:val="2"/>
        </w:numPr>
        <w:spacing w:after="60"/>
      </w:pPr>
      <w:r>
        <w:t xml:space="preserve">Seizoenslaag op DCC: zomer- of evenementweken met verhoogde toeristenkans.</w:t>
      </w:r>
    </w:p>
    <w:p>
      <w:pPr>
        <w:pStyle w:val="ListParagraph"/>
        <w:numPr>
          <w:ilvl w:val="0"/>
          <w:numId w:val="2"/>
        </w:numPr>
        <w:spacing w:after="60"/>
      </w:pPr>
      <w:r>
        <w:t xml:space="preserve">Compacte lijstweergave of inklappen van niet-urgente automaten bij 9 tot 12 kasten.</w:t>
      </w:r>
    </w:p>
    <w:p>
      <w:pPr>
        <w:pStyle w:val="ListParagraph"/>
        <w:numPr>
          <w:ilvl w:val="0"/>
          <w:numId w:val="2"/>
        </w:numPr>
        <w:spacing w:after="60"/>
      </w:pPr>
      <w:r>
        <w:t xml:space="preserve">Achievements, statistiekgrafieken en een collectie-museum van automaat-types.</w:t>
      </w:r>
    </w:p>
    <w:p>
      <w:pPr>
        <w:pStyle w:val="ListParagraph"/>
        <w:numPr>
          <w:ilvl w:val="0"/>
          <w:numId w:val="2"/>
        </w:numPr>
        <w:spacing w:after="60"/>
      </w:pPr>
      <w:r>
        <w:t xml:space="preserve">Geluid en haptics.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CC33" w:sz="12" w:space="4"/>
      </w:pBdr>
    </w:pPr>
    <w:rPr>
      <w:b/>
      <w:bCs/>
      <w:color w:val="26221A"/>
      <w:sz w:val="30"/>
      <w:szCs w:val="30"/>
    </w:rPr>
  </w:style>
  <w:style w:type="paragraph" w:styleId="Heading2">
    <w:name w:val="Heading 2"/>
    <w:basedOn w:val="Normal"/>
    <w:next w:val="Normal"/>
    <w:qFormat/>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2026-07-02T15:44:26.191Z</dcterms:created>
  <dcterms:modified xsi:type="dcterms:W3CDTF">2026-07-02T15:44:26.204Z</dcterms:modified>
</cp:coreProperties>
</file>

<file path=docProps/custom.xml><?xml version="1.0" encoding="utf-8"?>
<Properties xmlns="http://schemas.openxmlformats.org/officeDocument/2006/custom-properties" xmlns:vt="http://schemas.openxmlformats.org/officeDocument/2006/docPropsVTypes"/>
</file>