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Дмитрий</w:t>
      </w:r>
      <w:r>
        <w:t xml:space="preserve"> </w:t>
      </w:r>
      <w:r>
        <w:t xml:space="preserve">Сергеевич</w:t>
      </w:r>
      <w:r>
        <w:t xml:space="preserve"> </w:t>
      </w:r>
      <w:r>
        <w:t xml:space="preserve">Хохлов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организовал рабочую директорию для лабораторного задания № 9 и переместился в нее.</w:t>
      </w:r>
      <w:r>
        <w:t xml:space="preserve"> </w:t>
      </w:r>
      <w:r>
        <w:t xml:space="preserve">После этого произвел создание файла lab9-1.asm.</w:t>
      </w:r>
    </w:p>
    <w:p>
      <w:pPr>
        <w:pStyle w:val="BodyText"/>
      </w:pPr>
      <w:r>
        <w:t xml:space="preserve">Давайте рассмотрим пример программы, которая вычисляет арифметическое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вспомогательной функции calcul. В этом случае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получаем из пользовательского ввода, а расчет выражения осуществляется внутри</w:t>
      </w:r>
      <w:r>
        <w:t xml:space="preserve"> </w:t>
      </w:r>
      <w:r>
        <w:t xml:space="preserve">вспомогательной функции. (см. 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 (см. 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6176697"/>
            <wp:effectExtent b="0" l="0" r="0" t="0"/>
            <wp:docPr descr="Figure 1: Программа в файле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76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Программа в файле lab9-1.asm</w:t>
      </w:r>
    </w:p>
    <w:bookmarkEnd w:id="0"/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1063924"/>
            <wp:effectExtent b="0" l="0" r="0" t="0"/>
            <wp:docPr descr="Figure 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3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Запуск программы lab9-1.asm</w:t>
      </w:r>
    </w:p>
    <w:bookmarkEnd w:id="0"/>
    <w:p>
      <w:pPr>
        <w:pStyle w:val="BodyText"/>
      </w:pPr>
      <w:r>
        <w:t xml:space="preserve">Произвел модификацию кода программы, включив дополнительную подпрограмму subcalcul в</w:t>
      </w:r>
      <w:r>
        <w:t xml:space="preserve"> </w:t>
      </w:r>
      <w:r>
        <w:t xml:space="preserve">уже существующую подпрограмму calcul для реализации расчета составного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также получаем через ввод пользователя и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 (см. 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 (см. 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6383020"/>
            <wp:effectExtent b="0" l="0" r="0" t="0"/>
            <wp:docPr descr="Figure 3: Программа в файле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83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Программа в файле lab9-1.asm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1011869"/>
            <wp:effectExtent b="0" l="0" r="0" t="0"/>
            <wp:docPr descr="Figure 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1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Запуск программы lab9-1.asm</w:t>
      </w:r>
    </w:p>
    <w:bookmarkEnd w:id="0"/>
    <w:p>
      <w:pPr>
        <w:pStyle w:val="BodyText"/>
      </w:pPr>
      <w:r>
        <w:t xml:space="preserve">Сформировал файл lab9-2.asm, содержащий исходный код программы из Приложения 9.2.</w:t>
      </w:r>
      <w:r>
        <w:t xml:space="preserve"> </w:t>
      </w:r>
      <w:r>
        <w:t xml:space="preserve">(Эта программа осуществляет вывод на экран фразы Hello world!). (см. 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4052235" cy="4976261"/>
            <wp:effectExtent b="0" l="0" r="0" t="0"/>
            <wp:docPr descr="Figure 5: Программа в файле lab9-2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35" cy="4976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Программа в файле lab9-2.asm</w:t>
      </w:r>
    </w:p>
    <w:bookmarkEnd w:id="0"/>
    <w:p>
      <w:pPr>
        <w:pStyle w:val="BodyText"/>
      </w:pPr>
      <w:r>
        <w:t xml:space="preserve">Скомпилировал исполняемый файл, добавив отладочную информацию с использованием ключа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 </w:t>
      </w:r>
      <w:r>
        <w:t xml:space="preserve">для последующей работы в отладчике GDB.</w:t>
      </w:r>
    </w:p>
    <w:p>
      <w:pPr>
        <w:pStyle w:val="BodyText"/>
      </w:pPr>
      <w:r>
        <w:t xml:space="preserve">Загрузил полученный исполняемый файл в отладчик GDB и осуществил проверку функционирования программы, инициировав ее выполнение командой</w:t>
      </w:r>
      <w:r>
        <w:t xml:space="preserve"> </w:t>
      </w:r>
      <w:r>
        <w:t xml:space="preserve">‘</w:t>
      </w:r>
      <w:r>
        <w:t xml:space="preserve">run</w:t>
      </w:r>
      <w:r>
        <w:t xml:space="preserve">’</w:t>
      </w:r>
      <w:r>
        <w:t xml:space="preserve"> </w:t>
      </w:r>
      <w:r>
        <w:t xml:space="preserve">(или</w:t>
      </w:r>
      <w:r>
        <w:t xml:space="preserve"> </w:t>
      </w:r>
      <w:r>
        <w:t xml:space="preserve">‘</w:t>
      </w:r>
      <w:r>
        <w:t xml:space="preserve">r</w:t>
      </w:r>
      <w:r>
        <w:t xml:space="preserve">’</w:t>
      </w:r>
      <w:r>
        <w:t xml:space="preserve"> </w:t>
      </w:r>
      <w:r>
        <w:t xml:space="preserve">в сокращенной форме). (см. 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2746338"/>
            <wp:effectExtent b="0" l="0" r="0" t="0"/>
            <wp:docPr descr="Figure 6: Запуск программы lab9-2.asm в отладчике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6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Запуск программы lab9-2.asm в отладчике</w:t>
      </w:r>
    </w:p>
    <w:bookmarkEnd w:id="0"/>
    <w:p>
      <w:pPr>
        <w:pStyle w:val="BodyText"/>
      </w:pPr>
      <w:r>
        <w:t xml:space="preserve">Для детального изучения программы установил точку останова на метке</w:t>
      </w:r>
      <w:r>
        <w:t xml:space="preserve"> </w:t>
      </w:r>
      <w:r>
        <w:t xml:space="preserve">‘</w:t>
      </w:r>
      <w:r>
        <w:t xml:space="preserve">start</w:t>
      </w:r>
      <w:r>
        <w:t xml:space="preserve">’</w:t>
      </w:r>
      <w:r>
        <w:t xml:space="preserve">, которая является начальной точкой выполнения любой программы на ассемблере, и выполнил запуск. После этого изучил дизассемблированный код программы. (см. 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 (см. 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5725486"/>
            <wp:effectExtent b="0" l="0" r="0" t="0"/>
            <wp:docPr descr="Figure 7: Дизассемб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5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Дизассемблированный код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6142448"/>
            <wp:effectExtent b="0" l="0" r="0" t="0"/>
            <wp:docPr descr="Figure 8: Дизассемблированный код в режиме интел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42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Дизассемблированный код в режиме интел</w:t>
      </w:r>
    </w:p>
    <w:bookmarkEnd w:id="0"/>
    <w:p>
      <w:pPr>
        <w:pStyle w:val="BodyText"/>
      </w:pPr>
      <w:r>
        <w:t xml:space="preserve">Чтобы проверить установленные точки остановки, в частности для метки ’_start’, я использовал команду</w:t>
      </w:r>
      <w:r>
        <w:t xml:space="preserve"> </w:t>
      </w:r>
      <w:r>
        <w:t xml:space="preserve">‘</w:t>
      </w:r>
      <w:r>
        <w:t xml:space="preserve">info breakpoints</w:t>
      </w:r>
      <w:r>
        <w:t xml:space="preserve">’</w:t>
      </w:r>
      <w:r>
        <w:t xml:space="preserve"> </w:t>
      </w:r>
      <w:r>
        <w:t xml:space="preserve">или в сокращении</w:t>
      </w:r>
      <w:r>
        <w:t xml:space="preserve"> </w:t>
      </w:r>
      <w:r>
        <w:t xml:space="preserve">‘</w:t>
      </w:r>
      <w:r>
        <w:t xml:space="preserve">i b</w:t>
      </w:r>
      <w:r>
        <w:t xml:space="preserve">’</w:t>
      </w:r>
      <w:r>
        <w:t xml:space="preserve">. После этого задал новую точку остановки, нацелив ее на адрес, где располагается инструкция перед последней, а именно</w:t>
      </w:r>
      <w:r>
        <w:t xml:space="preserve"> </w:t>
      </w:r>
      <w:r>
        <w:t xml:space="preserve">‘</w:t>
      </w:r>
      <w:r>
        <w:t xml:space="preserve">mov ebx, 0x0</w:t>
      </w:r>
      <w:r>
        <w:t xml:space="preserve">’</w:t>
      </w:r>
      <w:r>
        <w:t xml:space="preserve">. (см. рисунок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4176564"/>
            <wp:effectExtent b="0" l="0" r="0" t="0"/>
            <wp:docPr descr="Figure 9: Точка остановки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6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Точка остановки</w:t>
      </w:r>
    </w:p>
    <w:bookmarkEnd w:id="0"/>
    <w:p>
      <w:pPr>
        <w:pStyle w:val="BodyText"/>
      </w:pPr>
      <w:r>
        <w:t xml:space="preserve">В среде отладки GDB предусмотрена возможность просмотра и редактирования содержимого памяти и регистров. Я выполнил пять шагов инструкций с использованием команды</w:t>
      </w:r>
      <w:r>
        <w:t xml:space="preserve"> </w:t>
      </w:r>
      <w:r>
        <w:t xml:space="preserve">‘</w:t>
      </w:r>
      <w:r>
        <w:t xml:space="preserve">stepi</w:t>
      </w:r>
      <w:r>
        <w:t xml:space="preserve">’</w:t>
      </w:r>
      <w:r>
        <w:t xml:space="preserve">, сокращенно</w:t>
      </w:r>
      <w:r>
        <w:t xml:space="preserve"> </w:t>
      </w:r>
      <w:r>
        <w:t xml:space="preserve">‘</w:t>
      </w:r>
      <w:r>
        <w:t xml:space="preserve">si</w:t>
      </w:r>
      <w:r>
        <w:t xml:space="preserve">’</w:t>
      </w:r>
      <w:r>
        <w:t xml:space="preserve">, и наблюдал за изменениями в регистрах. (см. рисунок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 (см. рисунок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4301415"/>
            <wp:effectExtent b="0" l="0" r="0" t="0"/>
            <wp:docPr descr="Figure 10: Изменение регистр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1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Изменение регистров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4286684"/>
            <wp:effectExtent b="0" l="0" r="0" t="0"/>
            <wp:docPr descr="Figure 11: Изменение регистр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6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Изменение регистров</w:t>
      </w:r>
    </w:p>
    <w:bookmarkEnd w:id="0"/>
    <w:p>
      <w:pPr>
        <w:pStyle w:val="BodyText"/>
      </w:pPr>
      <w:r>
        <w:t xml:space="preserve">Для модификации значений в регистрах или ячейках памяти применял команду</w:t>
      </w:r>
      <w:r>
        <w:t xml:space="preserve"> </w:t>
      </w:r>
      <w:r>
        <w:t xml:space="preserve">‘</w:t>
      </w:r>
      <w:r>
        <w:t xml:space="preserve">set</w:t>
      </w:r>
      <w:r>
        <w:t xml:space="preserve">’</w:t>
      </w:r>
      <w:r>
        <w:t xml:space="preserve">, указывая в аргументах название регистра или адрес. Таким образом, я изменил первый символ в переменной msg1. (см. рисунок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4315077"/>
            <wp:effectExtent b="0" l="0" r="0" t="0"/>
            <wp:docPr descr="Figure 12: Изменение значения переменной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5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Изменение значения переменной</w:t>
      </w:r>
    </w:p>
    <w:bookmarkEnd w:id="0"/>
    <w:p>
      <w:pPr>
        <w:pStyle w:val="BodyText"/>
      </w:pPr>
      <w:r>
        <w:t xml:space="preserve">Используя ту же команду</w:t>
      </w:r>
      <w:r>
        <w:t xml:space="preserve"> </w:t>
      </w:r>
      <w:r>
        <w:t xml:space="preserve">‘</w:t>
      </w:r>
      <w:r>
        <w:t xml:space="preserve">set</w:t>
      </w:r>
      <w:r>
        <w:t xml:space="preserve">’</w:t>
      </w:r>
      <w:r>
        <w:t xml:space="preserve">, я внес изменения в первый символ переменной msg1. (см. рисунок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</w:t>
      </w:r>
    </w:p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4336585"/>
            <wp:effectExtent b="0" l="0" r="0" t="0"/>
            <wp:docPr descr="Figure 13: Вывод значения регистр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Вывод значения регистра</w:t>
      </w:r>
    </w:p>
    <w:bookmarkEnd w:id="0"/>
    <w:p>
      <w:pPr>
        <w:pStyle w:val="BodyText"/>
      </w:pPr>
      <w:r>
        <w:t xml:space="preserve">Чтобы установить новое значение для регистра ebx, воспользовался командой</w:t>
      </w:r>
      <w:r>
        <w:t xml:space="preserve"> </w:t>
      </w:r>
      <w:r>
        <w:t xml:space="preserve">‘</w:t>
      </w:r>
      <w:r>
        <w:t xml:space="preserve">set</w:t>
      </w:r>
      <w:r>
        <w:t xml:space="preserve">’</w:t>
      </w:r>
      <w:r>
        <w:t xml:space="preserve">. (см. рисунок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4316531"/>
            <wp:effectExtent b="0" l="0" r="0" t="0"/>
            <wp:docPr descr="Figure 14: Вывод значения регистр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6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Вывод значения регистра</w:t>
      </w:r>
    </w:p>
    <w:bookmarkEnd w:id="0"/>
    <w:p>
      <w:pPr>
        <w:pStyle w:val="BodyText"/>
      </w:pPr>
      <w:r>
        <w:t xml:space="preserve">Скопировал исходный файл lab8-2.asm, который был создан в ходе лабораторной работы №8 и</w:t>
      </w:r>
      <w:r>
        <w:t xml:space="preserve"> </w:t>
      </w:r>
      <w:r>
        <w:t xml:space="preserve">содержит код для вывода параметров командной строки. Из этого файла сформировал исполняемый файл.</w:t>
      </w:r>
    </w:p>
    <w:p>
      <w:pPr>
        <w:pStyle w:val="BodyText"/>
      </w:pPr>
      <w:r>
        <w:t xml:space="preserve">Для инициализации программы с параметрами в отладчике gdb применил опцию –args,</w:t>
      </w:r>
      <w:r>
        <w:t xml:space="preserve"> </w:t>
      </w:r>
      <w:r>
        <w:t xml:space="preserve">после чего загрузил в gdb исполняемый файл вместе с заданными параметрами.</w:t>
      </w:r>
    </w:p>
    <w:p>
      <w:pPr>
        <w:pStyle w:val="BodyText"/>
      </w:pPr>
      <w:r>
        <w:t xml:space="preserve">Установил брейкпойнт на начало выполнения программы и запустил ее.</w:t>
      </w:r>
    </w:p>
    <w:p>
      <w:pPr>
        <w:pStyle w:val="BodyText"/>
      </w:pPr>
      <w:r>
        <w:t xml:space="preserve">В регистре esp хранится адрес вершины стека, где находится количество переданных</w:t>
      </w:r>
      <w:r>
        <w:t xml:space="preserve"> </w:t>
      </w:r>
      <w:r>
        <w:t xml:space="preserve">аргументов командной строки (с учетом названия самой программы). Из содержимого по</w:t>
      </w:r>
      <w:r>
        <w:t xml:space="preserve"> </w:t>
      </w:r>
      <w:r>
        <w:t xml:space="preserve">этому адресу видно, что число аргументов составляет 5, включая наименование программы lab9-3</w:t>
      </w:r>
      <w:r>
        <w:t xml:space="preserve"> </w:t>
      </w:r>
      <w:r>
        <w:t xml:space="preserve">и параметры: аргумент1, аргумент2,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Осмотрел другие ячейки стека. Под адресом [esp+4] расположен указатель на имя программы в памяти. Адреса последующих аргументов расположены в ячейках [esp+8], [esp+12] и далее. (см. 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4608419"/>
            <wp:effectExtent b="0" l="0" r="0" t="0"/>
            <wp:docPr descr="Figure 15: Вывод значения регистр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8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Вывод значения регистра</w:t>
      </w:r>
    </w:p>
    <w:bookmarkEnd w:id="0"/>
    <w:p>
      <w:pPr>
        <w:pStyle w:val="BodyText"/>
      </w:pPr>
      <w:r>
        <w:t xml:space="preserve">Размер шага между адресами составляет 4 байта, что обусловлено расположением адресов в стеке через каждые 4 байта от предыдущего ([esp+4], [esp+8], [esp+12]).</w:t>
      </w:r>
    </w:p>
    <w:bookmarkStart w:id="105" w:name="самостоятельное-задание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Самостоятельное задание</w:t>
      </w:r>
    </w:p>
    <w:p>
      <w:pPr>
        <w:pStyle w:val="FirstParagraph"/>
      </w:pPr>
      <w:r>
        <w:t xml:space="preserve">Изменил код программы из лабораторной работы №8 (Задание №1 для индивидуального выполнения), создав подпрограмму для расчета функции f(x). (см. 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 (см. 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</w:t>
      </w:r>
    </w:p>
    <w:bookmarkStart w:id="0" w:name="fig:016"/>
    <w:p>
      <w:pPr>
        <w:pStyle w:val="CaptionedFigure"/>
      </w:pPr>
      <w:bookmarkStart w:id="84" w:name="fig:016"/>
      <w:r>
        <w:drawing>
          <wp:inline>
            <wp:extent cx="3436218" cy="6910938"/>
            <wp:effectExtent b="0" l="0" r="0" t="0"/>
            <wp:docPr descr="Figure 16: Программа в файле lab9-3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218" cy="6910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Программа в файле lab9-3.asm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1024077"/>
            <wp:effectExtent b="0" l="0" r="0" t="0"/>
            <wp:docPr descr="Figure 17: Запуск программы lab9-3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4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Запуск программы lab9-3.asm</w:t>
      </w:r>
    </w:p>
    <w:bookmarkEnd w:id="0"/>
    <w:p>
      <w:pPr>
        <w:pStyle w:val="BodyText"/>
      </w:pPr>
      <w:r>
        <w:t xml:space="preserve">Программа, представленная в листинге, предназначена для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Однако при ее выполнении получается некорректный результат, что было выявлено с помощью</w:t>
      </w:r>
      <w:r>
        <w:t xml:space="preserve"> </w:t>
      </w:r>
      <w:r>
        <w:t xml:space="preserve">отладки и анализа регистров в GDB.</w:t>
      </w:r>
    </w:p>
    <w:p>
      <w:pPr>
        <w:pStyle w:val="BodyText"/>
      </w:pPr>
      <w:r>
        <w:t xml:space="preserve">Выяснил, что ошибка заключается в неправильной последовательности аргументов в инструкции add, и обнаружил, что в конце выполнения в регистр edi записывается значение из ebx вместо eax. (см. 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</w:t>
      </w:r>
    </w:p>
    <w:bookmarkStart w:id="0" w:name="fig:018"/>
    <w:p>
      <w:pPr>
        <w:pStyle w:val="CaptionedFigure"/>
      </w:pPr>
      <w:bookmarkStart w:id="92" w:name="fig:018"/>
      <w:r>
        <w:drawing>
          <wp:inline>
            <wp:extent cx="4254366" cy="4206240"/>
            <wp:effectExtent b="0" l="0" r="0" t="0"/>
            <wp:docPr descr="Figure 18: Код с ошибкой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366" cy="4206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Код с ошибкой</w:t>
      </w:r>
    </w:p>
    <w:bookmarkEnd w:id="0"/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4305168"/>
            <wp:effectExtent b="0" l="0" r="0" t="0"/>
            <wp:docPr descr="Figure 19: Отладк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5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Отладка</w:t>
      </w:r>
    </w:p>
    <w:bookmarkEnd w:id="0"/>
    <w:p>
      <w:pPr>
        <w:pStyle w:val="BodyText"/>
      </w:pPr>
      <w:r>
        <w:t xml:space="preserve">Указываю на неверное использование аргументов в инструкции add и на то, что в конце программы в регистр edi передается значение из ebx, а не из eax (см. 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</w:t>
      </w:r>
    </w:p>
    <w:p>
      <w:pPr>
        <w:pStyle w:val="BodyText"/>
      </w:pPr>
      <w:r>
        <w:t xml:space="preserve">Корректный вариант исходного кода программы представлен далее (см. 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 (см. рис.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]).</w:t>
      </w:r>
    </w:p>
    <w:bookmarkStart w:id="0" w:name="fig:020"/>
    <w:p>
      <w:pPr>
        <w:pStyle w:val="CaptionedFigure"/>
      </w:pPr>
      <w:bookmarkStart w:id="100" w:name="fig:020"/>
      <w:r>
        <w:drawing>
          <wp:inline>
            <wp:extent cx="4716378" cy="4533498"/>
            <wp:effectExtent b="0" l="0" r="0" t="0"/>
            <wp:docPr descr="Figure 20: Код исправлен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378" cy="4533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Код исправлен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5008151"/>
            <wp:effectExtent b="0" l="0" r="0" t="0"/>
            <wp:docPr descr="Figure 21: Проверка работы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8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Проверка работы</w:t>
      </w:r>
    </w:p>
    <w:bookmarkEnd w:id="0"/>
    <w:bookmarkEnd w:id="105"/>
    <w:bookmarkEnd w:id="106"/>
    <w:bookmarkStart w:id="10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7"/>
    <w:bookmarkStart w:id="108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1"/>
        </w:numPr>
      </w:pPr>
      <w:r>
        <w:t xml:space="preserve">GDB: The GNU Project Debugger. — URL: https://www.gnu.org/software/gdb/.</w:t>
      </w:r>
    </w:p>
    <w:p>
      <w:pPr>
        <w:numPr>
          <w:ilvl w:val="0"/>
          <w:numId w:val="1001"/>
        </w:numPr>
      </w:pPr>
      <w:r>
        <w:t xml:space="preserve">GNU Bash Manual. — 2016. — URL: https://www.gnu.org/software/bash/manual/.</w:t>
      </w:r>
    </w:p>
    <w:p>
      <w:pPr>
        <w:numPr>
          <w:ilvl w:val="0"/>
          <w:numId w:val="1001"/>
        </w:numPr>
      </w:pPr>
      <w:r>
        <w:t xml:space="preserve">Midnight Commander Development Center. — 2021. — URL: https://midnight-commander.org/.</w:t>
      </w:r>
    </w:p>
    <w:p>
      <w:pPr>
        <w:numPr>
          <w:ilvl w:val="0"/>
          <w:numId w:val="1001"/>
        </w:numPr>
      </w:pPr>
      <w:r>
        <w:t xml:space="preserve">NASM Assembly Language Tutorials. — 2021. — URL: https://asmtutor.com/.</w:t>
      </w:r>
    </w:p>
    <w:p>
      <w:pPr>
        <w:numPr>
          <w:ilvl w:val="0"/>
          <w:numId w:val="1001"/>
        </w:numPr>
      </w:pPr>
      <w:r>
        <w:t xml:space="preserve">Newham C. Learning the bash Shell: Unix Shell Programming. — O’Reilly Media, 2005. — 354 с. — (In a Nutshell). — ISBN 0596009658. — URL: http://www.amazon.com/Learning-bash-Shell-Programming-Nutshell/dp/0596009658.</w:t>
      </w:r>
    </w:p>
    <w:p>
      <w:pPr>
        <w:numPr>
          <w:ilvl w:val="0"/>
          <w:numId w:val="1001"/>
        </w:numPr>
      </w:pPr>
      <w:r>
        <w:t xml:space="preserve">Robbins A. Bash Pocket Reference. — O’Reilly Media, 2016. — 156 с. — ISBN 978-1491941591.</w:t>
      </w:r>
    </w:p>
    <w:p>
      <w:pPr>
        <w:numPr>
          <w:ilvl w:val="0"/>
          <w:numId w:val="1001"/>
        </w:numPr>
      </w:pPr>
      <w:r>
        <w:t xml:space="preserve">The NASM documentation. — 2021. — URL: https://www.nasm.us/docs.php.</w:t>
      </w:r>
    </w:p>
    <w:p>
      <w:pPr>
        <w:numPr>
          <w:ilvl w:val="0"/>
          <w:numId w:val="1001"/>
        </w:numPr>
      </w:pPr>
      <w:r>
        <w:t xml:space="preserve">Zarrelli G. Mastering Bash. — Packt Publishing, 2017. — 502 с. — ISBN 9781784396879.</w:t>
      </w:r>
    </w:p>
    <w:p>
      <w:pPr>
        <w:numPr>
          <w:ilvl w:val="0"/>
          <w:numId w:val="1001"/>
        </w:numPr>
      </w:pPr>
      <w:r>
        <w:t xml:space="preserve">Колдаев В. Д., Лупин С. А. Архитектура ЭВМ. — М. : Форум, 2018.</w:t>
      </w:r>
    </w:p>
    <w:p>
      <w:pPr>
        <w:numPr>
          <w:ilvl w:val="0"/>
          <w:numId w:val="1001"/>
        </w:numPr>
      </w:pPr>
      <w:r>
        <w:t xml:space="preserve">Куляс О. Л., Никитин К. А. Курс программирования на ASSEMBLER. — М. : Солон-Пресс, 2017.</w:t>
      </w:r>
    </w:p>
    <w:p>
      <w:pPr>
        <w:numPr>
          <w:ilvl w:val="0"/>
          <w:numId w:val="1001"/>
        </w:numPr>
      </w:pPr>
      <w:r>
        <w:t xml:space="preserve">Новожилов О. П. Архитектура ЭВМ и систем. — М. : Юрайт, 2016.</w:t>
      </w:r>
    </w:p>
    <w:p>
      <w:pPr>
        <w:numPr>
          <w:ilvl w:val="0"/>
          <w:numId w:val="1001"/>
        </w:numPr>
      </w:pPr>
      <w:r>
        <w:t xml:space="preserve">Расширенный ассемблер: NASM. — 2021. — URL: https://www.opennet.ru/docs/RUS/nasm/.</w:t>
      </w:r>
    </w:p>
    <w:p>
      <w:pPr>
        <w:numPr>
          <w:ilvl w:val="0"/>
          <w:numId w:val="1001"/>
        </w:numPr>
      </w:pPr>
      <w:r>
        <w:t xml:space="preserve">Робачевский А., Немнюгин С., Стесик О. Операционная система UNIX. — 2-е изд. — БХВ Петербург, 2010. — 656 с. — ISBN 978-5-94157-538-1.</w:t>
      </w:r>
    </w:p>
    <w:p>
      <w:pPr>
        <w:numPr>
          <w:ilvl w:val="0"/>
          <w:numId w:val="1001"/>
        </w:numPr>
      </w:pPr>
      <w:r>
        <w:t xml:space="preserve">Столяров А. Программирование на языке ассемблера NASM для ОС Unix. — 2-е изд. — М. : МАКС Пресс, 2011. — URL: http://www.stolyarov.info/books/asm_unix.</w:t>
      </w:r>
    </w:p>
    <w:p>
      <w:pPr>
        <w:numPr>
          <w:ilvl w:val="0"/>
          <w:numId w:val="1001"/>
        </w:numPr>
      </w:pPr>
      <w:r>
        <w:t xml:space="preserve">Таненбаум Э. Архитектура компьютера. — 6-е изд. — СПб. : Питер, 2013. — 874 с. — (Классика Computer Science).</w:t>
      </w:r>
    </w:p>
    <w:p>
      <w:pPr>
        <w:numPr>
          <w:ilvl w:val="0"/>
          <w:numId w:val="1001"/>
        </w:numPr>
      </w:pPr>
      <w:r>
        <w:t xml:space="preserve">Таненбаум Э., Бос Х. Современные операционные системы. — 4-е изд. — СПб. : Питер, 2015. — 1120 с. — (Классика Computer Science).</w:t>
      </w:r>
    </w:p>
    <w:bookmarkEnd w:id="1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Дмитрий Сергеевич Хохлов</dc:creator>
  <dc:language>ru-RU</dc:language>
  <cp:keywords/>
  <dcterms:created xsi:type="dcterms:W3CDTF">2023-12-25T15:12:36Z</dcterms:created>
  <dcterms:modified xsi:type="dcterms:W3CDTF">2023-12-25T15:12:36Z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Понятие подпрограммы. Отладчик GDB.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