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06aa0ba3cd269d7639d4ac8fba0d127ba5bacc"/>
    <w:p>
      <w:pPr>
        <w:pStyle w:val="Heading1"/>
      </w:pPr>
      <w:r>
        <w:t xml:space="preserve">Employee onboarding where the agent never sees the employee</w:t>
      </w:r>
    </w:p>
    <w:p>
      <w:pPr>
        <w:pStyle w:val="FirstParagraph"/>
      </w:pPr>
      <w:r>
        <w:t xml:space="preserve">T3N Agent Build Challenge submission for Terminal 3 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https://github.com/DikaCream/T3N-Challenge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did:t3n:50a04efc91641528919da135e31d8995fcd642b3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testnet (</w:t>
            </w:r>
            <w:r>
              <w:rPr>
                <w:rStyle w:val="VerbatimChar"/>
              </w:rPr>
              <w:t xml:space="preserve">cn-api.sg.testnet.t3n.terminal3.io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@terminal3/t3n-sdk@5.2.0</w:t>
            </w:r>
            <w:r>
              <w:t xml:space="preserve"> </w:t>
            </w:r>
            <w:r>
              <w:t xml:space="preserve">(pinned)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z:50a04efc91641528919da135e31d8995fcd642b3:employee-onboarding</w:t>
            </w:r>
            <w:r>
              <w:t xml:space="preserve"> </w:t>
            </w:r>
            <w:r>
              <w:t xml:space="preserve">v0.1.2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continue running it</w:t>
            </w:r>
            <w:r>
              <w:t xml:space="preserve">; happy to hand over. See Section 7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Xcbc8d49ead2eb22ae05585560e358a4d1fa5add"/>
    <w:p>
      <w:pPr>
        <w:pStyle w:val="Heading2"/>
      </w:pPr>
      <w:r>
        <w:t xml:space="preserve">1. What was built</w:t>
      </w:r>
    </w:p>
    <w:p>
      <w:pPr>
        <w:pStyle w:val="FirstParagraph"/>
      </w:pPr>
      <w:r>
        <w:rPr>
          <w:rStyle w:val="VerbatimChar"/>
        </w:rPr>
        <w:t xml:space="preserve">hr-onboard</w:t>
      </w:r>
      <w:r>
        <w:t xml:space="preserve">: an enterprise employee-onboarding agent where</w:t>
      </w:r>
      <w:r>
        <w:t xml:space="preserve"> </w:t>
      </w:r>
      <w:r>
        <w:rPr>
          <w:b/>
          <w:bCs/>
        </w:rPr>
        <w:t xml:space="preserve">the AI never sees the</w:t>
      </w:r>
      <w:r>
        <w:rPr>
          <w:b/>
          <w:bCs/>
        </w:rPr>
        <w:t xml:space="preserve"> </w:t>
      </w:r>
      <w:r>
        <w:rPr>
          <w:b/>
          <w:bCs/>
        </w:rPr>
        <w:t xml:space="preserve">employee's data</w:t>
      </w:r>
      <w:r>
        <w:t xml:space="preserve">.</w:t>
      </w:r>
    </w:p>
    <w:p>
      <w:pPr>
        <w:pStyle w:val="BodyText"/>
      </w:pPr>
      <w:r>
        <w:t xml:space="preserve">The agent plans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onboarding steps to run using only an internal employee</w:t>
      </w:r>
      <w:r>
        <w:t xml:space="preserve"> </w:t>
      </w:r>
      <w:r>
        <w:t xml:space="preserve">reference, a role, a department and a start date. A T3N TEE contract then does the</w:t>
      </w:r>
      <w:r>
        <w:t xml:space="preserve"> </w:t>
      </w:r>
      <w:r>
        <w:t xml:space="preserve">work, creating the HRIS record and enrolling the hire with payroll, and the</w:t>
      </w:r>
      <w:r>
        <w:t xml:space="preserve"> </w:t>
      </w:r>
      <w:r>
        <w:t xml:space="preserve">employee's legal name, national id, address and personal email are substituted by</w:t>
      </w:r>
      <w:r>
        <w:t xml:space="preserve"> </w:t>
      </w:r>
      <w:r>
        <w:t xml:space="preserve">the host</w:t>
      </w:r>
      <w:r>
        <w:t xml:space="preserve"> </w:t>
      </w:r>
      <w:r>
        <w:rPr>
          <w:b/>
          <w:bCs/>
        </w:rPr>
        <w:t xml:space="preserve">inside the enclave</w:t>
      </w:r>
      <w:r>
        <w:t xml:space="preserve">, at the moment the outbound request is built. They</w:t>
      </w:r>
      <w:r>
        <w:t xml:space="preserve"> </w:t>
      </w:r>
      <w:r>
        <w:t xml:space="preserve">are never function arguments, never local variables, and never bytes in the</w:t>
      </w:r>
      <w:r>
        <w:t xml:space="preserve"> </w:t>
      </w:r>
      <w:r>
        <w:t xml:space="preserve">application's process.</w:t>
      </w:r>
    </w:p>
    <w:p>
      <w:pPr>
        <w:pStyle w:val="BodyText"/>
      </w:pPr>
      <w:r>
        <w:t xml:space="preserve">Three components, all in the repo: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contracts/employee-onboarding/</w:t>
            </w:r>
            <w:r>
              <w:t xml:space="preserve">: Rust →</w:t>
            </w:r>
            <w:r>
              <w:t xml:space="preserve"> </w:t>
            </w:r>
            <w:r>
              <w:rPr>
                <w:rStyle w:val="VerbatimChar"/>
              </w:rPr>
              <w:t xml:space="preserve">wasm32-wasip2</w:t>
            </w:r>
            <w:r>
              <w:t xml:space="preserve">, five functions over WIT, 15 unit tests that run without a 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+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  <w:r>
              <w:t xml:space="preserve">: TypeScript, zero build step (Node ≥ 22.18 native type stripping), 12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  <w:r>
              <w:t xml:space="preserve">: Next.js App Router. The SDK runs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in server route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 +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: 58 TypeScript unit tests plus 15 contract tests, no network or credentials. CI runs both, plus both builds, on Linux and macOS at Node 22.18 and 24</w:t>
            </w:r>
          </w:p>
        </w:tc>
      </w:tr>
    </w:tbl>
    <w:p>
      <w:pPr>
        <w:pStyle w:val="BodyText"/>
      </w:pPr>
      <w:r>
        <w:t xml:space="preserve">The CLI and the console call the same</w:t>
      </w:r>
      <w:r>
        <w:t xml:space="preserve"> </w:t>
      </w:r>
      <w:r>
        <w:rPr>
          <w:rStyle w:val="VerbatimChar"/>
        </w:rPr>
        <w:t xml:space="preserve">src/services/</w:t>
      </w:r>
      <w:r>
        <w:t xml:space="preserve"> </w:t>
      </w:r>
      <w:r>
        <w:t xml:space="preserve">functions, so the safety</w:t>
      </w:r>
      <w:r>
        <w:t xml:space="preserve"> </w:t>
      </w:r>
      <w:r>
        <w:t xml:space="preserve">rules are implemented once rather than re-derived per surface.</w:t>
      </w:r>
    </w:p>
    <w:p>
      <w:pPr>
        <w:pStyle w:val="BodyText"/>
      </w:pPr>
      <w:r>
        <w:drawing>
          <wp:inline>
            <wp:extent cx="5334000" cy="370416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/root/superteam/screenshots/14a-web-console-above-fol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" w:name="why-this-use-case"/>
    <w:p>
      <w:pPr>
        <w:pStyle w:val="Heading3"/>
      </w:pPr>
      <w:r>
        <w:t xml:space="preserve">Why this use case</w:t>
      </w:r>
    </w:p>
    <w:p>
      <w:pPr>
        <w:pStyle w:val="FirstParagraph"/>
      </w:pPr>
      <w:r>
        <w:t xml:space="preserve">Onboarding is the moment an enterprise moves a new hire's most sensitive data</w:t>
      </w:r>
      <w:r>
        <w:t xml:space="preserve"> </w:t>
      </w:r>
      <w:r>
        <w:t xml:space="preserve">between systems, and it is the flow where "the app must hold the PII to do its job"</w:t>
      </w:r>
      <w:r>
        <w:t xml:space="preserve"> </w:t>
      </w:r>
      <w:r>
        <w:t xml:space="preserve">is normally taken as given. It also contains a genuinely useful agent decision:</w:t>
      </w:r>
      <w:r>
        <w:t xml:space="preserve"> </w:t>
      </w:r>
      <w:r>
        <w:rPr>
          <w:i/>
          <w:iCs/>
        </w:rPr>
        <w:t xml:space="preserve">should this person go through payroll enrolment at all?</w:t>
      </w:r>
      <w:r>
        <w:t xml:space="preserve"> </w:t>
      </w:r>
      <w:r>
        <w:t xml:space="preserve">That needs no sensitive</w:t>
      </w:r>
      <w:r>
        <w:t xml:space="preserve"> </w:t>
      </w:r>
      <w:r>
        <w:t xml:space="preserve">data to answer. That combination makes it a fair test of the T3N privacy model</w:t>
      </w:r>
      <w:r>
        <w:t xml:space="preserve"> </w:t>
      </w:r>
      <w:r>
        <w:t xml:space="preserve">rather than a demo of it.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8bb4a6daf8ce255e1546621f015a8c2a472e791"/>
    <w:p>
      <w:pPr>
        <w:pStyle w:val="Heading2"/>
      </w:pPr>
      <w:r>
        <w:t xml:space="preserve">2. The privacy claim, enforced rather than asserted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stops PII from travelling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→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StartInput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field</w:t>
            </w:r>
            <w:r>
              <w:t xml:space="preserve"> </w:t>
            </w:r>
            <w:r>
              <w:t xml:space="preserve">to put it in.</w:t>
            </w:r>
            <w:r>
              <w:t xml:space="preserve"> </w:t>
            </w:r>
            <w:r>
              <w:rPr>
                <w:rStyle w:val="VerbatimChar"/>
              </w:rPr>
              <w:t xml:space="preserve">employee_ref</w:t>
            </w:r>
            <w:r>
              <w:t xml:space="preserve"> </w:t>
            </w:r>
            <w:r>
              <w:t xml:space="preserve">is HR-internal and validated to 64 chars of</w:t>
            </w:r>
            <w:r>
              <w:t xml:space="preserve"> </w:t>
            </w:r>
            <w:r>
              <w:rPr>
                <w:rStyle w:val="VerbatimChar"/>
              </w:rPr>
              <w:t xml:space="preserve">[A-Za-z0-9._/-]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body</w:t>
            </w:r>
          </w:p>
        </w:tc>
        <w:tc>
          <w:tcPr/>
          <w:p>
            <w:pPr>
              <w:pStyle w:val="Compact"/>
            </w:pPr>
            <w:r>
              <w:t xml:space="preserve">Built with literal</w:t>
            </w:r>
            <w:r>
              <w:t xml:space="preserve"> </w:t>
            </w:r>
            <w:r>
              <w:rPr>
                <w:rStyle w:val="VerbatimChar"/>
              </w:rPr>
              <w:t xml:space="preserve">{{profile.*}}</w:t>
            </w:r>
            <w:r>
              <w:t xml:space="preserve"> </w:t>
            </w:r>
            <w:r>
              <w:t xml:space="preserve">markers; those bytes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payload, not a redaction applied for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http-with-placeholders</w:t>
            </w:r>
            <w:r>
              <w:t xml:space="preserve"> </w:t>
            </w:r>
            <w:r>
              <w:t xml:space="preserve">resolves markers host-side, after the bytes leave WASM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response</w:t>
            </w:r>
          </w:p>
        </w:tc>
        <w:tc>
          <w:tcPr/>
          <w:p>
            <w:pPr>
              <w:pStyle w:val="Compact"/>
            </w:pPr>
            <w:r>
              <w:t xml:space="preserve">The body is discarded; only the status code is read, because an upstream can echo back what it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record</w:t>
            </w:r>
          </w:p>
        </w:tc>
        <w:tc>
          <w:tcPr/>
          <w:p>
            <w:pPr>
              <w:pStyle w:val="Compact"/>
            </w:pPr>
            <w:r>
              <w:t xml:space="preserve">Holds status only, and carries</w:t>
            </w:r>
            <w:r>
              <w:t xml:space="preserve"> </w:t>
            </w:r>
            <w:r>
              <w:rPr>
                <w:rStyle w:val="VerbatimChar"/>
              </w:rPr>
              <w:t xml:space="preserve">contains_pii: false</w:t>
            </w:r>
            <w:r>
              <w:t xml:space="preserve"> </w:t>
            </w:r>
            <w:r>
              <w:t xml:space="preserve">as a field rather than a 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secrets</w:t>
            </w:r>
            <w:r>
              <w:t xml:space="preserve"> </w:t>
            </w:r>
            <w:r>
              <w:t xml:space="preserve">map readers are</w:t>
            </w:r>
            <w:r>
              <w:t xml:space="preserve"> </w:t>
            </w:r>
            <w:r>
              <w:rPr>
                <w:rStyle w:val="VerbatimChar"/>
              </w:rPr>
              <w:t xml:space="preserve">{ only: [contractId] }</w:t>
            </w:r>
            <w:r>
              <w:t xml:space="preserve">; the process that writes a key cannot read it back</w:t>
            </w:r>
          </w:p>
        </w:tc>
      </w:tr>
    </w:tbl>
    <w:p>
      <w:pPr>
        <w:pStyle w:val="BodyText"/>
      </w:pPr>
      <w:r>
        <w:t xml:space="preserve">The strongest evidence is the dry run.</w:t>
      </w:r>
      <w:r>
        <w:t xml:space="preserve"> </w:t>
      </w:r>
      <w:r>
        <w:rPr>
          <w:rStyle w:val="VerbatimChar"/>
        </w:rPr>
        <w:t xml:space="preserve">onboard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prints the exact</w:t>
      </w:r>
      <w:r>
        <w:t xml:space="preserve"> </w:t>
      </w:r>
      <w:r>
        <w:t xml:space="preserve">bodies the enclave would send, with the markers still unresolved. If a name or an</w:t>
      </w:r>
      <w:r>
        <w:t xml:space="preserve"> </w:t>
      </w:r>
      <w:r>
        <w:t xml:space="preserve">account number appeared there, the design would have failed visibly.</w:t>
      </w:r>
    </w:p>
    <w:p>
      <w:pPr>
        <w:pStyle w:val="BodyText"/>
      </w:pPr>
      <w:r>
        <w:drawing>
          <wp:inline>
            <wp:extent cx="5334000" cy="17346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root/superteam/screenshots/15-04-onboard-an-employe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4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Those two bodies are the entire payload.</w:t>
      </w:r>
      <w:r>
        <w:t xml:space="preserve"> </w:t>
      </w:r>
      <w:r>
        <w:rPr>
          <w:rStyle w:val="VerbatimChar"/>
        </w:rPr>
        <w:t xml:space="preserve">{{profile.ssn}}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{{profile.address}}</w:t>
      </w:r>
      <w:r>
        <w:t xml:space="preserve"> </w:t>
      </w:r>
      <w:r>
        <w:t xml:space="preserve">are substituted by the host inside the enclave, and I have never seen the values.</w:t>
      </w:r>
    </w:p>
    <w:p>
      <w:r>
        <w:pict>
          <v:rect style="width:0;height:1.5pt" o:hralign="center" o:hrstd="t" o:hr="t"/>
        </w:pict>
      </w:r>
    </w:p>
    <w:bookmarkEnd w:id="18"/>
    <w:bookmarkStart w:id="19" w:name="X8371d40dc000a9a130e3592db117b989ee11802"/>
    <w:p>
      <w:pPr>
        <w:pStyle w:val="Heading2"/>
      </w:pPr>
      <w:r>
        <w:t xml:space="preserve">3. T3N features used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T3nClient</w:t>
      </w:r>
      <w:r>
        <w:t xml:space="preserve">: handshake + Ethereum auth →</w:t>
      </w:r>
      <w:r>
        <w:t xml:space="preserve"> </w:t>
      </w:r>
      <w:r>
        <w:rPr>
          <w:rStyle w:val="VerbatimChar"/>
        </w:rPr>
        <w:t xml:space="preserve">did:t3n:…</w:t>
      </w:r>
      <w:r>
        <w:t xml:space="preserve"> </w:t>
      </w:r>
      <w:r>
        <w:t xml:space="preserve">tenant identity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fetchTrustedManifest</w:t>
      </w:r>
      <w:r>
        <w:t xml:space="preserve">: attested trust anchor; the client refuses to construct without it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TenantClient</w:t>
      </w:r>
      <w:r>
        <w:t xml:space="preserve"> </w:t>
      </w:r>
      <w:r>
        <w:t xml:space="preserve">for the control plane: maps, contract registration, invocation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TEE contract</w:t>
      </w:r>
      <w:r>
        <w:t xml:space="preserve">: Rust →</w:t>
      </w:r>
      <w:r>
        <w:t xml:space="preserve"> </w:t>
      </w:r>
      <w:r>
        <w:rPr>
          <w:rStyle w:val="VerbatimChar"/>
        </w:rPr>
        <w:t xml:space="preserve">wasm32-wasip2</w:t>
      </w:r>
      <w:r>
        <w:t xml:space="preserve">, WIT world, five exported functions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host:interfaces/http-with-placeholders</w:t>
      </w:r>
      <w:r>
        <w:t xml:space="preserve">: the privacy mechanism</w:t>
      </w:r>
    </w:p>
    <w:p>
      <w:pPr>
        <w:pStyle w:val="Compact"/>
        <w:numPr>
          <w:ilvl w:val="0"/>
          <w:numId w:val="1001"/>
        </w:numPr>
      </w:pPr>
      <w:r>
        <w:t xml:space="preserve">Its typed errors (</w:t>
      </w:r>
      <w:r>
        <w:rPr>
          <w:rStyle w:val="VerbatimChar"/>
        </w:rPr>
        <w:t xml:space="preserve">egress-denied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placeholder-denied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placeholder-unknown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placeholder-no-user-context</w:t>
      </w:r>
      <w:r>
        <w:t xml:space="preserve">) are surfaced verbatim rather than flattened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host:interfaces/kv-store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onboarding-log</w:t>
      </w:r>
      <w:r>
        <w:t xml:space="preserve"> </w:t>
      </w:r>
      <w:r>
        <w:t xml:space="preserve">maps</w:t>
      </w:r>
    </w:p>
    <w:p>
      <w:pPr>
        <w:pStyle w:val="Compact"/>
        <w:numPr>
          <w:ilvl w:val="0"/>
          <w:numId w:val="1001"/>
        </w:numPr>
      </w:pPr>
      <w:r>
        <w:t xml:space="preserve">Tenant KV maps with contract-scoped ACLs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getMemberDelegation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addMemberDelegationGrants</w:t>
      </w:r>
      <w:r>
        <w:t xml:space="preserve"> </w:t>
      </w:r>
      <w:r>
        <w:t xml:space="preserve">for scoped delegation with</w:t>
      </w:r>
      <w:r>
        <w:t xml:space="preserve"> </w:t>
      </w:r>
      <w:r>
        <w:rPr>
          <w:rStyle w:val="VerbatimChar"/>
        </w:rPr>
        <w:t xml:space="preserve">allowed_hosts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submitUserInput</w:t>
      </w:r>
      <w:r>
        <w:t xml:space="preserve">: the calling user's profile that placeholders resolve against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setDescriptor</w:t>
      </w:r>
      <w:r>
        <w:t xml:space="preserve">: publish the contract descriptor, without which a registered contract is not dispatchable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getActivityLog</w:t>
      </w:r>
      <w:r>
        <w:t xml:space="preserve">: the ledger's host-stamped record of dispatches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serverExternalPackages</w:t>
      </w:r>
      <w:r>
        <w:t xml:space="preserve"> </w:t>
      </w:r>
      <w:r>
        <w:t xml:space="preserve">(Next.js): keeps the SDK's runtime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load out of the bundler</w:t>
      </w:r>
    </w:p>
    <w:p>
      <w:pPr>
        <w:pStyle w:val="FirstParagraph"/>
      </w:pPr>
      <w:r>
        <w:t xml:space="preserve">Not used:</w:t>
      </w:r>
      <w:r>
        <w:t xml:space="preserve"> </w:t>
      </w:r>
      <w:r>
        <w:rPr>
          <w:rStyle w:val="VerbatimChar"/>
        </w:rPr>
        <w:t xml:space="preserve">host:interfaces/authorisation</w:t>
      </w:r>
      <w:r>
        <w:t xml:space="preserve">. It is the natural way to</w:t>
      </w:r>
      <w:r>
        <w:t xml:space="preserve"> </w:t>
      </w:r>
      <w:r>
        <w:t xml:space="preserve">ask "may this host be reached?" before acting, but importing it makes the contract</w:t>
      </w:r>
      <w:r>
        <w:t xml:space="preserve"> </w:t>
      </w:r>
      <w:r>
        <w:t xml:space="preserve">un-instantiable. See Section 6.</w:t>
      </w:r>
    </w:p>
    <w:p>
      <w:r>
        <w:pict>
          <v:rect style="width:0;height:1.5pt" o:hralign="center" o:hrstd="t" o:hr="t"/>
        </w:pict>
      </w:r>
    </w:p>
    <w:bookmarkEnd w:id="19"/>
    <w:bookmarkStart w:id="26" w:name="Xe78df9bb1edbd8aab398342038d5abf6821db65"/>
    <w:p>
      <w:pPr>
        <w:pStyle w:val="Heading2"/>
      </w:pPr>
      <w:r>
        <w:t xml:space="preserve">4. What actually happened on testnet</w:t>
      </w:r>
    </w:p>
    <w:p>
      <w:pPr>
        <w:pStyle w:val="FirstParagraph"/>
      </w:pPr>
      <w:r>
        <w:t xml:space="preserve">Run on 2026-09-13 against</w:t>
      </w:r>
      <w:r>
        <w:t xml:space="preserve"> </w:t>
      </w:r>
      <w:r>
        <w:rPr>
          <w:rStyle w:val="VerbatimChar"/>
        </w:rPr>
        <w:t xml:space="preserve">testnet</w:t>
      </w:r>
      <w:r>
        <w:t xml:space="preserve"> </w:t>
      </w:r>
      <w:r>
        <w:t xml:space="preserve">with a real DID and key. Every step succeeded.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whoami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did:t3n:50a04efc…d642b3</w:t>
            </w:r>
            <w:r>
              <w:t xml:space="preserve">, node</w:t>
            </w:r>
            <w:r>
              <w:t xml:space="preserve"> </w:t>
            </w:r>
            <w:r>
              <w:rPr>
                <w:rStyle w:val="VerbatimChar"/>
              </w:rPr>
              <w:t xml:space="preserve">cn-api.sg.testnet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build:contract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hr_onboard.wasm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217 723 bytes</w:t>
            </w:r>
            <w:r>
              <w:t xml:space="preserve">, target</w:t>
            </w:r>
            <w:r>
              <w:t xml:space="preserve"> </w:t>
            </w:r>
            <w:r>
              <w:rPr>
                <w:rStyle w:val="VerbatimChar"/>
              </w:rPr>
              <w:t xml:space="preserve">wasm32-wasip2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typecheck clean,</w:t>
            </w:r>
            <w:r>
              <w:t xml:space="preserve"> </w:t>
            </w:r>
            <w:r>
              <w:rPr>
                <w:b/>
                <w:bCs/>
              </w:rPr>
              <w:t xml:space="preserve">58/58</w:t>
            </w:r>
            <w:r>
              <w:t xml:space="preserve"> </w:t>
            </w:r>
            <w:r>
              <w:t xml:space="preserve">TypeScript unit tests,</w:t>
            </w:r>
            <w:r>
              <w:t xml:space="preserve"> </w:t>
            </w:r>
            <w:r>
              <w:rPr>
                <w:b/>
                <w:bCs/>
              </w:rPr>
              <w:t xml:space="preserve">15/15</w:t>
            </w:r>
            <w:r>
              <w:t xml:space="preserve"> </w:t>
            </w:r>
            <w:r>
              <w:t xml:space="preserve">Rust unit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onboarding-log</w:t>
            </w:r>
            <w:r>
              <w:t xml:space="preserve"> </w:t>
            </w: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registered v0.1.2,</w:t>
            </w:r>
            <w:r>
              <w:t xml:space="preserve"> </w:t>
            </w:r>
            <w:r>
              <w:rPr>
                <w:b/>
                <w:bCs/>
              </w:rPr>
              <w:t xml:space="preserve">contract_id 1005</w:t>
            </w:r>
            <w:r>
              <w:t xml:space="preserve">, descriptor published, ACLs re-pointed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full self-description returned</w:t>
            </w:r>
            <w:r>
              <w:t xml:space="preserve"> </w:t>
            </w:r>
            <w:r>
              <w:rPr>
                <w:b/>
                <w:bCs/>
              </w:rPr>
              <w:t xml:space="preserve">from inside the enclave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</w:t>
            </w:r>
          </w:p>
        </w:tc>
        <w:tc>
          <w:tcPr/>
          <w:p>
            <w:pPr>
              <w:pStyle w:val="Compact"/>
            </w:pPr>
            <w:r>
              <w:t xml:space="preserve">both steps configured; egress explicitly reported as unknown-by-design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</w:t>
            </w:r>
            <w:r>
              <w:t xml:space="preserve"> </w:t>
            </w:r>
            <w:r>
              <w:t xml:space="preserve">(dry)</w:t>
            </w:r>
          </w:p>
        </w:tc>
        <w:tc>
          <w:tcPr/>
          <w:p>
            <w:pPr>
              <w:pStyle w:val="Compact"/>
            </w:pPr>
            <w:r>
              <w:t xml:space="preserve">plan + both request bodies with</w:t>
            </w:r>
            <w:r>
              <w:t xml:space="preserve"> </w:t>
            </w:r>
            <w:r>
              <w:rPr>
                <w:rStyle w:val="VerbatimChar"/>
              </w:rPr>
              <w:t xml:space="preserve">{{profile.*}}</w:t>
            </w:r>
            <w:r>
              <w:t xml:space="preserve"> </w:t>
            </w:r>
            <w:r>
              <w:rPr>
                <w:b/>
                <w:bCs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self-bound delegation,</w:t>
            </w:r>
            <w:r>
              <w:t xml:space="preserve"> </w:t>
            </w:r>
            <w:r>
              <w:rPr>
                <w:rStyle w:val="VerbatimChar"/>
              </w:rPr>
              <w:t xml:space="preserve">allowed_hosts: [httpbin.org]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 --live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provision-identity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HTTP 200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enroll-payroll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record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contains_pii: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32 ledger entries: 9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(all from the broken import), then 23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console</w:t>
            </w:r>
          </w:p>
        </w:tc>
        <w:tc>
          <w:tcPr/>
          <w:p>
            <w:pPr>
              <w:pStyle w:val="Compact"/>
            </w:pPr>
            <w:r>
              <w:t xml:space="preserve">all six routes return live data;</w:t>
            </w:r>
            <w:r>
              <w:t xml:space="preserve"> </w:t>
            </w:r>
            <w:r>
              <w:rPr>
                <w:rStyle w:val="VerbatimChar"/>
              </w:rPr>
              <w:t xml:space="preserve">T3N_API_KEY</w:t>
            </w:r>
            <w:r>
              <w:t xml:space="preserve"> </w:t>
            </w:r>
            <w:r>
              <w:t xml:space="preserve">absent from the client bundle</w:t>
            </w:r>
          </w:p>
        </w:tc>
      </w:tr>
    </w:tbl>
    <w:p>
      <w:pPr>
        <w:pStyle w:val="BodyText"/>
      </w:pPr>
      <w:r>
        <w:t xml:space="preserve">Both steps are real HTTPS POSTs that left the enclave with the employee's name,</w:t>
      </w:r>
      <w:r>
        <w:t xml:space="preserve"> </w:t>
      </w:r>
      <w:r>
        <w:t xml:space="preserve">national id, address, country and personal email substituted by the host, after the</w:t>
      </w:r>
      <w:r>
        <w:t xml:space="preserve"> </w:t>
      </w:r>
      <w:r>
        <w:t xml:space="preserve">bytes left WASM.</w:t>
      </w:r>
      <w:r>
        <w:t xml:space="preserve"> </w:t>
      </w:r>
      <w:r>
        <w:rPr>
          <w:b/>
          <w:bCs/>
        </w:rPr>
        <w:t xml:space="preserve">Those values never existed in the application process</w:t>
      </w:r>
      <w:r>
        <w:t xml:space="preserve">, and the</w:t>
      </w:r>
      <w:r>
        <w:t xml:space="preserve"> </w:t>
      </w:r>
      <w:r>
        <w:t xml:space="preserve">upstream response bodies are discarded rather than forwarded, because an upstream</w:t>
      </w:r>
      <w:r>
        <w:t xml:space="preserve"> </w:t>
      </w:r>
      <w:r>
        <w:t xml:space="preserve">can echo back what it received.</w:t>
      </w:r>
    </w:p>
    <w:p>
      <w:pPr>
        <w:pStyle w:val="BodyText"/>
      </w:pPr>
      <w:r>
        <w:drawing>
          <wp:inline>
            <wp:extent cx="5334000" cy="329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root/superteam/screenshots/15-05-onboarding-record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620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root/superteam/screenshots/15-06-audit-trai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audit panel is not the application's log. These rows are what the</w:t>
      </w:r>
      <w: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recorded, host-stamped from the verified dispatch context, so a contract cannot</w:t>
      </w:r>
      <w:r>
        <w:t xml:space="preserve"> </w:t>
      </w:r>
      <w:r>
        <w:t xml:space="preserve">forge who acted.</w:t>
      </w:r>
      <w:r>
        <w:t xml:space="preserve"> </w:t>
      </w:r>
      <w:r>
        <w:rPr>
          <w:rStyle w:val="VerbatimChar"/>
        </w:rPr>
        <w:t xml:space="preserve">start-onboarding</w:t>
      </w:r>
      <w:r>
        <w:t xml:space="preserve"> </w:t>
      </w:r>
      <w:r>
        <w:t xml:space="preserve">completing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provision-identity</w:t>
      </w:r>
      <w:r>
        <w:t xml:space="preserve"> </w:t>
      </w:r>
      <w:r>
        <w:t xml:space="preserve">failed inside it is the correct distinction: the dispatch</w:t>
      </w:r>
      <w:r>
        <w:t xml:space="preserve"> </w:t>
      </w:r>
      <w:r>
        <w:t xml:space="preserve">succeeded, the business step did not.</w:t>
      </w:r>
    </w:p>
    <w:p>
      <w:r>
        <w:pict>
          <v:rect style="width:0;height:1.5pt" o:hralign="center" o:hrstd="t" o:hr="t"/>
        </w:pict>
      </w:r>
    </w:p>
    <w:bookmarkEnd w:id="26"/>
    <w:bookmarkStart w:id="27" w:name="Xdf59b2b5db66eeeafb79efa68a5009d5726f4b1"/>
    <w:p>
      <w:pPr>
        <w:pStyle w:val="Heading2"/>
      </w:pPr>
      <w:r>
        <w:t xml:space="preserve">5. Screenshots</w:t>
      </w:r>
    </w:p>
    <w:p>
      <w:pPr>
        <w:pStyle w:val="FirstParagraph"/>
      </w:pPr>
      <w:r>
        <w:t xml:space="preserve">All in the repository under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 The browser set is generated rather than</w:t>
      </w:r>
      <w:r>
        <w:t xml:space="preserve"> </w:t>
      </w:r>
      <w:r>
        <w:t xml:space="preserve">hand-taken:</w:t>
      </w:r>
      <w:r>
        <w:t xml:space="preserve"> </w:t>
      </w:r>
      <w:r>
        <w:rPr>
          <w:rStyle w:val="VerbatimChar"/>
        </w:rPr>
        <w:t xml:space="preserve">node scripts/capture-console.mjs</w:t>
      </w:r>
      <w:r>
        <w:t xml:space="preserve"> </w:t>
      </w:r>
      <w:r>
        <w:t xml:space="preserve">drives Chrome over the DevTools</w:t>
      </w:r>
      <w:r>
        <w:t xml:space="preserve"> </w:t>
      </w:r>
      <w:r>
        <w:t xml:space="preserve">Protocol, measures the real content height, and clips each panel to its own box. It</w:t>
      </w:r>
      <w:r>
        <w:t xml:space="preserve"> </w:t>
      </w:r>
      <w:r>
        <w:t xml:space="preserve">also presses the buttons on the two panels that are idle until asked, so those two</w:t>
      </w:r>
      <w:r>
        <w:t xml:space="preserve"> </w:t>
      </w:r>
      <w:r>
        <w:t xml:space="preserve">images show a real run instead of an empty form, and writes</w:t>
      </w:r>
      <w:r>
        <w:t xml:space="preserve"> </w:t>
      </w:r>
      <w:r>
        <w:rPr>
          <w:rStyle w:val="VerbatimChar"/>
        </w:rPr>
        <w:t xml:space="preserve">console-text.txt</w:t>
      </w:r>
      <w:r>
        <w:t xml:space="preserve">, the</w:t>
      </w:r>
      <w:r>
        <w:t xml:space="preserve"> </w:t>
      </w:r>
      <w:r>
        <w:t xml:space="preserve">same content as text, so a reader can grep it rather than squint at a PNG.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15-01-operator-session.png</w:t>
            </w:r>
          </w:p>
        </w:tc>
        <w:tc>
          <w:tcPr/>
          <w:p>
            <w:pPr>
              <w:pStyle w:val="Compact"/>
            </w:pPr>
            <w:r>
              <w:t xml:space="preserve">live DID, node, credit balance, contract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15-02-tenant-setup.png</w:t>
            </w:r>
          </w:p>
        </w:tc>
        <w:tc>
          <w:tcPr/>
          <w:p>
            <w:pPr>
              <w:pStyle w:val="Compact"/>
            </w:pPr>
            <w:r>
              <w:t xml:space="preserve">the three maps and their access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15-03-preflight.png</w:t>
            </w:r>
          </w:p>
        </w:tc>
        <w:tc>
          <w:tcPr/>
          <w:p>
            <w:pPr>
              <w:pStyle w:val="Compact"/>
            </w:pPr>
            <w:r>
              <w:t xml:space="preserve">per-step configuration, egress stated as unknown-by-design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15-04-onboard-an-employee.png</w:t>
            </w:r>
          </w:p>
        </w:tc>
        <w:tc>
          <w:tcPr/>
          <w:p>
            <w:pPr>
              <w:pStyle w:val="Compact"/>
            </w:pPr>
            <w:r>
              <w:t xml:space="preserve">plan, dry-run bodies with</w:t>
            </w:r>
            <w:r>
              <w:t xml:space="preserve"> </w:t>
            </w:r>
            <w:r>
              <w:rPr>
                <w:rStyle w:val="VerbatimChar"/>
              </w:rPr>
              <w:t xml:space="preserve">{{profile.*}}</w:t>
            </w:r>
            <w:r>
              <w:t xml:space="preserve"> </w:t>
            </w:r>
            <w:r>
              <w:t xml:space="preserve">unresolved,</w:t>
            </w:r>
            <w:r>
              <w:t xml:space="preserve"> </w:t>
            </w:r>
            <w:r>
              <w:rPr>
                <w:rStyle w:val="VerbatimChar"/>
              </w:rPr>
              <w:t xml:space="preserve">contains_pii: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15-05-onboarding-records.png</w:t>
            </w:r>
          </w:p>
        </w:tc>
        <w:tc>
          <w:tcPr/>
          <w:p>
            <w:pPr>
              <w:pStyle w:val="Compact"/>
            </w:pPr>
            <w:r>
              <w:t xml:space="preserve">the stored record:</w:t>
            </w:r>
            <w:r>
              <w:t xml:space="preserve"> </w:t>
            </w:r>
            <w:r>
              <w:rPr>
                <w:rStyle w:val="VerbatimChar"/>
              </w:rPr>
              <w:t xml:space="preserve">emp-2041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 both steps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15-06-audit-trail.png</w:t>
            </w:r>
          </w:p>
        </w:tc>
        <w:tc>
          <w:tcPr/>
          <w:p>
            <w:pPr>
              <w:pStyle w:val="Compact"/>
            </w:pPr>
            <w:r>
              <w:t xml:space="preserve">host-stamped dispatches from the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15-07-why-the-privacy-claim-holds.png</w:t>
            </w:r>
          </w:p>
        </w:tc>
        <w:tc>
          <w:tcPr/>
          <w:p>
            <w:pPr>
              <w:pStyle w:val="Compact"/>
            </w:pPr>
            <w:r>
              <w:t xml:space="preserve">the five claims, each tied to a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captures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whoami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build:contract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</w:t>
            </w:r>
            <w:r>
              <w:t xml:space="preserve">, dry run, grant, live run,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</w:p>
        </w:tc>
      </w:tr>
    </w:tbl>
    <w:p>
      <w:pPr>
        <w:pStyle w:val="BodyText"/>
      </w:pPr>
      <w:r>
        <w:t xml:space="preserve">The three that matter most are the dry run, the live run, and the audit trail: they</w:t>
      </w:r>
      <w:r>
        <w:t xml:space="preserve"> </w:t>
      </w:r>
      <w:r>
        <w:t xml:space="preserve">show the privacy mechanism, a real outbound call, and the failure-then-fix in the</w:t>
      </w:r>
      <w:r>
        <w:t xml:space="preserve"> </w:t>
      </w:r>
      <w:r>
        <w:t xml:space="preserve">network's own record.</w:t>
      </w:r>
    </w:p>
    <w:p>
      <w:r>
        <w:pict>
          <v:rect style="width:0;height:1.5pt" o:hralign="center" o:hrstd="t" o:hr="t"/>
        </w:pict>
      </w:r>
    </w:p>
    <w:bookmarkEnd w:id="27"/>
    <w:bookmarkStart w:id="28" w:name="X2c1cfc6b837932c70a6d287c09fc341f4c47cb2"/>
    <w:p>
      <w:pPr>
        <w:pStyle w:val="Heading2"/>
      </w:pPr>
      <w:r>
        <w:t xml:space="preserve">6. Issues encountered</w:t>
      </w:r>
    </w:p>
    <w:p>
      <w:pPr>
        <w:pStyle w:val="FirstParagraph"/>
      </w:pPr>
      <w:r>
        <w:t xml:space="preserve">Fourteen items in</w:t>
      </w:r>
      <w:r>
        <w:t xml:space="preserve"> </w:t>
      </w:r>
      <w:r>
        <w:rPr>
          <w:rStyle w:val="VerbatimChar"/>
        </w:rPr>
        <w:t xml:space="preserve">docs/BUGS.md</w:t>
      </w:r>
      <w:r>
        <w:t xml:space="preserve">. The three critical ones were found by running the</w:t>
      </w:r>
      <w:r>
        <w:t xml:space="preserve"> </w:t>
      </w:r>
      <w:r>
        <w:t xml:space="preserve">thing, and each is reproducible.</w:t>
      </w:r>
    </w:p>
    <w:p>
      <w:pPr>
        <w:numPr>
          <w:ilvl w:val="0"/>
          <w:numId w:val="1002"/>
        </w:numPr>
      </w:pPr>
      <w:r>
        <w:t xml:space="preserve">Importing</w:t>
      </w:r>
      <w:r>
        <w:t xml:space="preserve"> </w:t>
      </w:r>
      <w:r>
        <w:rPr>
          <w:rStyle w:val="VerbatimChar"/>
        </w:rPr>
        <w:t xml:space="preserve">host:interfaces/authorisation@2.1.0</w:t>
      </w:r>
      <w:r>
        <w:t xml:space="preserve"> </w:t>
      </w:r>
      <w:r>
        <w:t xml:space="preserve">makes a contract</w:t>
      </w:r>
      <w:r>
        <w:t xml:space="preserve"> </w:t>
      </w:r>
      <w:r>
        <w:t xml:space="preserve">un-instantiable, and the error says nothing. Every dispatch returns a bare</w:t>
      </w:r>
      <w:r>
        <w:t xml:space="preserve"> </w:t>
      </w:r>
      <w:r>
        <w:rPr>
          <w:rStyle w:val="VerbatimChar"/>
        </w:rPr>
        <w:t xml:space="preserve">RPC Error: Internal error</w:t>
      </w:r>
      <w:r>
        <w:t xml:space="preserve"> </w:t>
      </w:r>
      <w:r>
        <w:t xml:space="preserve">with no field, no component, no hint. The raw JSON-RPC</w:t>
      </w:r>
      <w:r>
        <w:t xml:space="preserve"> </w:t>
      </w:r>
      <w:r>
        <w:t xml:space="preserve">response is</w:t>
      </w:r>
      <w:r>
        <w:t xml:space="preserve"> </w:t>
      </w:r>
      <w:r>
        <w:rPr>
          <w:rStyle w:val="VerbatimChar"/>
        </w:rPr>
        <w:t xml:space="preserve">{"code": -32603, "message": "Internal error"}</w:t>
      </w:r>
      <w:r>
        <w:t xml:space="preserve"> </w:t>
      </w:r>
      <w:r>
        <w:t xml:space="preserve">plus a correlation id,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contracts.logs()</w:t>
      </w:r>
      <w:r>
        <w:t xml:space="preserve"> </w:t>
      </w:r>
      <w:r>
        <w:t xml:space="preserve">is empty, so there is nothing to cross-check. Established by</w:t>
      </w:r>
      <w:r>
        <w:t xml:space="preserve"> </w:t>
      </w:r>
      <w:r>
        <w:t xml:space="preserve">bisection: the same crate, differing by that one import, goes from failing every call</w:t>
      </w:r>
      <w:r>
        <w:t xml:space="preserve"> </w:t>
      </w:r>
      <w:r>
        <w:t xml:space="preserve">to returning its full</w:t>
      </w:r>
      <w:r>
        <w:t xml:space="preserve"> </w:t>
      </w:r>
      <w:r>
        <w:rPr>
          <w:rStyle w:val="VerbatimChar"/>
        </w:rPr>
        <w:t xml:space="preserve">contract-info</w:t>
      </w:r>
      <w:r>
        <w:t xml:space="preserve">. The interface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declared in the host's</w:t>
      </w:r>
      <w:r>
        <w:t xml:space="preserve"> </w:t>
      </w:r>
      <w:r>
        <w:rPr>
          <w:rStyle w:val="VerbatimChar"/>
        </w:rPr>
        <w:t xml:space="preserve">world interfaces</w:t>
      </w:r>
      <w:r>
        <w:t xml:space="preserve">, and it is the one interface that would let a contract ask "may I</w:t>
      </w:r>
      <w:r>
        <w:t xml:space="preserve"> </w:t>
      </w:r>
      <w:r>
        <w:t xml:space="preserve">egress?" before acting, so the design the docs encourage is the one that silently</w:t>
      </w:r>
      <w:r>
        <w:t xml:space="preserve"> </w:t>
      </w:r>
      <w:r>
        <w:t xml:space="preserve">bricks the build.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register</w:t>
      </w:r>
      <w:r>
        <w:t xml:space="preserve"> </w:t>
      </w:r>
      <w:r>
        <w:t xml:space="preserve">reports success but the contract is not dispatchable until</w:t>
      </w:r>
      <w:r>
        <w:t xml:space="preserve"> </w:t>
      </w:r>
      <w:r>
        <w:rPr>
          <w:rStyle w:val="VerbatimChar"/>
        </w:rPr>
        <w:t xml:space="preserve">setDescriptor</w:t>
      </w:r>
      <w:r>
        <w:t xml:space="preserve"> </w:t>
      </w:r>
      <w:r>
        <w:t xml:space="preserve">is called.</w:t>
      </w:r>
      <w:r>
        <w:t xml:space="preserve"> </w:t>
      </w:r>
      <w:r>
        <w:rPr>
          <w:rStyle w:val="VerbatimChar"/>
        </w:rPr>
        <w:t xml:space="preserve">listDetailed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status: "active"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descriptor: null</w:t>
      </w:r>
      <w:r>
        <w:t xml:space="preserve">, and every call fails with that same content-free error. Nothing</w:t>
      </w:r>
      <w:r>
        <w:t xml:space="preserve"> </w:t>
      </w:r>
      <w:r>
        <w:t xml:space="preserve">in the Quickstart or Walkthrough mentions the descriptor; the only pointer is a doc</w:t>
      </w:r>
      <w:r>
        <w:t xml:space="preserve"> </w:t>
      </w:r>
      <w:r>
        <w:t xml:space="preserve">comment about the "MCP dispatch funnel". A deployment that skips it looks completely</w:t>
      </w:r>
      <w:r>
        <w:t xml:space="preserve"> </w:t>
      </w:r>
      <w:r>
        <w:t xml:space="preserve">successful.</w:t>
      </w:r>
    </w:p>
    <w:p>
      <w:pPr>
        <w:numPr>
          <w:ilvl w:val="0"/>
          <w:numId w:val="1002"/>
        </w:numPr>
      </w:pPr>
      <w:r>
        <w:t xml:space="preserve">The descriptor schema is undocumented. Eight required fields per function,</w:t>
      </w:r>
      <w:r>
        <w:t xml:space="preserve"> </w:t>
      </w:r>
      <w:r>
        <w:t xml:space="preserve">recovered one validator error at a time, and two are counter-intuitive:</w:t>
      </w:r>
      <w:r>
        <w:t xml:space="preserve"> </w:t>
      </w:r>
      <w:r>
        <w:rPr>
          <w:rStyle w:val="VerbatimChar"/>
        </w:rPr>
        <w:t xml:space="preserve">returns</w:t>
      </w:r>
      <w:r>
        <w:t xml:space="preserve"> </w:t>
      </w:r>
      <w:r>
        <w:t xml:space="preserve">(the obvious guess,</w:t>
      </w:r>
      <w:r>
        <w:t xml:space="preserve"> </w:t>
      </w:r>
      <w:r>
        <w:rPr>
          <w:rStyle w:val="VerbatimChar"/>
        </w:rPr>
        <w:t xml:space="preserve">returns_schema</w:t>
      </w:r>
      <w:r>
        <w:t xml:space="preserve">, is rejected) and</w:t>
      </w:r>
      <w:r>
        <w:t xml:space="preserve"> </w:t>
      </w:r>
      <w:r>
        <w:rPr>
          <w:rStyle w:val="VerbatimChar"/>
        </w:rPr>
        <w:t xml:space="preserve">examples</w:t>
      </w:r>
      <w:r>
        <w:t xml:space="preserve">. The SDK type is</w:t>
      </w:r>
      <w:r>
        <w:t xml:space="preserve"> </w:t>
      </w:r>
      <w:r>
        <w:t xml:space="preserve">explicitly open-ended, so it offers no help either.</w:t>
      </w:r>
    </w:p>
    <w:p>
      <w:pPr>
        <w:numPr>
          <w:ilvl w:val="0"/>
          <w:numId w:val="1002"/>
        </w:numPr>
      </w:pPr>
      <w:r>
        <w:t xml:space="preserve">The WIT spec calls nested placeholders "malformed"; they are not, and the email</w:t>
      </w:r>
      <w:r>
        <w:t xml:space="preserve"> </w:t>
      </w:r>
      <w:r>
        <w:t xml:space="preserve">only resolves at a nested path. The spec defines</w:t>
      </w:r>
      <w:r>
        <w:t xml:space="preserve"> </w:t>
      </w:r>
      <w:r>
        <w:rPr>
          <w:rStyle w:val="VerbatimChar"/>
        </w:rPr>
        <w:t xml:space="preserve">placeholder-denied</w:t>
      </w:r>
      <w:r>
        <w:t xml:space="preserve"> </w:t>
      </w:r>
      <w:r>
        <w:t xml:space="preserve">as covering a</w:t>
      </w:r>
      <w:r>
        <w:t xml:space="preserve"> </w:t>
      </w:r>
      <w:r>
        <w:rPr>
          <w:i/>
          <w:iCs/>
        </w:rPr>
        <w:t xml:space="preserve">"malformed marker (nested / non-snake-case field)"</w:t>
      </w:r>
      <w:r>
        <w:t xml:space="preserve">. But the email is not on the</w:t>
      </w:r>
      <w:r>
        <w:t xml:space="preserve"> </w:t>
      </w:r>
      <w:r>
        <w:t xml:space="preserve">top-level profile the way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 </w:t>
      </w:r>
      <w:r>
        <w:t xml:space="preserve">is; the host keeps it under the</w:t>
      </w:r>
      <w:r>
        <w:t xml:space="preserve"> </w:t>
      </w:r>
      <w:r>
        <w:t xml:space="preserve">verified-contacts structure, so the resolvable marker is</w:t>
      </w:r>
      <w:r>
        <w:t xml:space="preserve"> </w:t>
      </w:r>
      <w:r>
        <w:rPr>
          <w:rStyle w:val="VerbatimChar"/>
        </w:rPr>
        <w:t xml:space="preserve">{{profile.verified_contacts.email.value}}</w:t>
      </w:r>
      <w:r>
        <w:t xml:space="preserve">. Terminal 3's own reference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z-tenant-flight/src/booking.rs</w:t>
      </w:r>
      <w:r>
        <w:t xml:space="preserve">) uses exactly that while using flat names for every</w:t>
      </w:r>
      <w:r>
        <w:t xml:space="preserve"> </w:t>
      </w:r>
      <w:r>
        <w:t xml:space="preserve">other field.</w:t>
      </w:r>
    </w:p>
    <w:p>
      <w:pPr>
        <w:pStyle w:val="FirstParagraph"/>
      </w:pPr>
      <w:r>
        <w:t xml:space="preserve">Both directions were tested against testnet with the same contract, differing only in</w:t>
      </w:r>
      <w:r>
        <w:t xml:space="preserve"> </w:t>
      </w:r>
      <w:r>
        <w:t xml:space="preserve">the marker: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{{profile.email_address}}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placeholder-unknown</w:t>
            </w:r>
            <w:r>
              <w:t xml:space="preserve">:</w:t>
            </w:r>
            <w:r>
              <w:t xml:space="preserve"> </w:t>
            </w:r>
            <w:r>
              <w:rPr>
                <w:i/>
                <w:iCs/>
              </w:rPr>
              <w:t xml:space="preserve">"the calling profile is missing field 'email_address'"</w:t>
            </w:r>
            <w:r>
              <w:t xml:space="preserve"> </w:t>
            </w:r>
            <w:r>
              <w:t xml:space="preserve">→ step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{{profile.verified_contacts.email.value}}</w:t>
            </w:r>
          </w:p>
        </w:tc>
        <w:tc>
          <w:tcPr/>
          <w:p>
            <w:pPr>
              <w:pStyle w:val="Compact"/>
            </w:pPr>
            <w:r>
              <w:t xml:space="preserve">resolves →</w:t>
            </w:r>
            <w:r>
              <w:t xml:space="preserve"> </w:t>
            </w:r>
            <w:r>
              <w:rPr>
                <w:b/>
                <w:bCs/>
              </w:rPr>
              <w:t xml:space="preserve">HTTP 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status: completed</w:t>
            </w:r>
          </w:p>
        </w:tc>
      </w:tr>
    </w:tbl>
    <w:p>
      <w:pPr>
        <w:pStyle w:val="BodyText"/>
      </w:pPr>
      <w:r>
        <w:t xml:space="preserve">That combination is what makes it expensive: the spec's wording steers you to flat</w:t>
      </w:r>
      <w:r>
        <w:t xml:space="preserve"> </w:t>
      </w:r>
      <w:r>
        <w:t xml:space="preserve">names,</w:t>
      </w:r>
      <w:r>
        <w:t xml:space="preserve"> </w:t>
      </w:r>
      <w:r>
        <w:rPr>
          <w:rStyle w:val="VerbatimChar"/>
        </w:rPr>
        <w:t xml:space="preserve">user-upsert</w:t>
      </w:r>
      <w:r>
        <w:t xml:space="preserve"> </w:t>
      </w:r>
      <w:r>
        <w:t xml:space="preserve">accepts the flat</w:t>
      </w:r>
      <w:r>
        <w:t xml:space="preserve"> </w:t>
      </w:r>
      <w:r>
        <w:rPr>
          <w:rStyle w:val="VerbatimChar"/>
        </w:rPr>
        <w:t xml:space="preserve">email_address</w:t>
      </w:r>
      <w:r>
        <w:t xml:space="preserve"> </w:t>
      </w:r>
      <w:r>
        <w:t xml:space="preserve">without complaint (it is a</w:t>
      </w:r>
      <w:r>
        <w:t xml:space="preserve"> </w:t>
      </w:r>
      <w:r>
        <w:t xml:space="preserve">documented Level-1 field), and the failure arrives as a missing</w:t>
      </w:r>
      <w:r>
        <w:t xml:space="preserve"> </w:t>
      </w:r>
      <w:r>
        <w:rPr>
          <w:i/>
          <w:iCs/>
        </w:rPr>
        <w:t xml:space="preserve">field</w:t>
      </w:r>
      <w:r>
        <w:t xml:space="preserve"> </w:t>
      </w:r>
      <w:r>
        <w:t xml:space="preserve">rather than a</w:t>
      </w:r>
      <w:r>
        <w:t xml:space="preserve"> </w:t>
      </w:r>
      <w:r>
        <w:t xml:space="preserve">wrong</w:t>
      </w:r>
      <w:r>
        <w:t xml:space="preserve"> </w:t>
      </w:r>
      <w:r>
        <w:rPr>
          <w:i/>
          <w:iCs/>
        </w:rPr>
        <w:t xml:space="preserve">name</w:t>
      </w:r>
      <w:r>
        <w:t xml:space="preserve">, so the natural next move is to bind the field harder rather than rename</w:t>
      </w:r>
      <w:r>
        <w:t xml:space="preserve"> </w:t>
      </w:r>
      <w:r>
        <w:t xml:space="preserve">it. This one wrong signal cost more wall-clock time than anything else in the build.</w:t>
      </w:r>
    </w:p>
    <w:p>
      <w:pPr>
        <w:pStyle w:val="BodyText"/>
      </w:pPr>
      <w:r>
        <w:t xml:space="preserve">Also notable:</w:t>
      </w:r>
      <w:r>
        <w:t xml:space="preserve"> </w:t>
      </w:r>
      <w:r>
        <w:rPr>
          <w:b/>
          <w:bCs/>
        </w:rPr>
        <w:t xml:space="preserve">deny-all egress has no documented path for an individual tenant</w:t>
      </w:r>
      <w:r>
        <w:t xml:space="preserve">.</w:t>
      </w:r>
      <w:r>
        <w:t xml:space="preserve"> </w:t>
      </w:r>
      <w:r>
        <w:t xml:space="preserve">The SDK's only egress API,</w:t>
      </w:r>
      <w:r>
        <w:t xml:space="preserve"> </w:t>
      </w:r>
      <w:r>
        <w:rPr>
          <w:rStyle w:val="VerbatimChar"/>
        </w:rPr>
        <w:t xml:space="preserve">OrgDataClient.setAgentEgress</w:t>
      </w:r>
      <w:r>
        <w:t xml:space="preserve">, requires an org and is</w:t>
      </w:r>
      <w:r>
        <w:t xml:space="preserve"> </w:t>
      </w:r>
      <w:r>
        <w:t xml:space="preserve">org-admin only, and what worked was a member-delegation grant bound to your own DID.</w:t>
      </w:r>
      <w:r>
        <w:t xml:space="preserve"> </w:t>
      </w:r>
      <w:r>
        <w:rPr>
          <w:rStyle w:val="VerbatimChar"/>
          <w:b/>
          <w:bCs/>
        </w:rPr>
        <w:t xml:space="preserve">user-upsert</w:t>
      </w:r>
      <w:r>
        <w:rPr>
          <w:b/>
          <w:bCs/>
        </w:rPr>
        <w:t xml:space="preserve"> </w:t>
      </w:r>
      <w:r>
        <w:rPr>
          <w:b/>
          <w:bCs/>
        </w:rPr>
        <w:t xml:space="preserve">accepts fields that are not resolvable as placeholders</w:t>
      </w:r>
      <w:r>
        <w:t xml:space="preserve">, so the</w:t>
      </w:r>
      <w:r>
        <w:t xml:space="preserve"> </w:t>
      </w:r>
      <w:r>
        <w:t xml:space="preserve">mismatch surfaces later as a step failure mid-run. And</w:t>
      </w:r>
      <w:r>
        <w:t xml:space="preserve"> </w:t>
      </w:r>
      <w:r>
        <w:rPr>
          <w:b/>
          <w:bCs/>
        </w:rPr>
        <w:t xml:space="preserve">a contract's numeric id</w:t>
      </w:r>
      <w:r>
        <w:rPr>
          <w:b/>
          <w:bCs/>
        </w:rPr>
        <w:t xml:space="preserve"> </w:t>
      </w:r>
      <w:r>
        <w:rPr>
          <w:b/>
          <w:bCs/>
        </w:rPr>
        <w:t xml:space="preserve">cannot be read back</w:t>
      </w:r>
      <w:r>
        <w:t xml:space="preserve">: not from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listDetailed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</w:t>
      </w:r>
      <w:r>
        <w:t xml:space="preserve">, or the ledger, even</w:t>
      </w:r>
      <w:r>
        <w:t xml:space="preserve"> </w:t>
      </w:r>
      <w:r>
        <w:t xml:space="preserve">though map ACLs are keyed on it, which meant a second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could resolve those</w:t>
      </w:r>
      <w:r>
        <w:t xml:space="preserve"> </w:t>
      </w:r>
      <w:r>
        <w:t xml:space="preserve">ACLs to deny-all and silently revoke the deployed contract's access to its own maps.</w:t>
      </w:r>
    </w:p>
    <w:p>
      <w:r>
        <w:pict>
          <v:rect style="width:0;height:1.5pt" o:hralign="center" o:hrstd="t" o:hr="t"/>
        </w:pict>
      </w:r>
    </w:p>
    <w:bookmarkEnd w:id="28"/>
    <w:bookmarkStart w:id="30" w:name="Xd405c8701db0f61d11b0b8c07d8f186f1855d8f"/>
    <w:p>
      <w:pPr>
        <w:pStyle w:val="Heading2"/>
      </w:pPr>
      <w:r>
        <w:t xml:space="preserve">7. Post-challenge maintenance</w:t>
      </w:r>
    </w:p>
    <w:p>
      <w:pPr>
        <w:pStyle w:val="FirstParagraph"/>
      </w:pPr>
      <w:r>
        <w:t xml:space="preserve">The intention is to keep running it, and I am happy to hand it over.</w:t>
      </w:r>
    </w:p>
    <w:p>
      <w:pPr>
        <w:pStyle w:val="BodyText"/>
      </w:pPr>
      <w:r>
        <w:t xml:space="preserve">This is a standalone integration on the public testnet. Nothing depends on a hosted</w:t>
      </w:r>
      <w:r>
        <w:t xml:space="preserve"> </w:t>
      </w:r>
      <w:r>
        <w:t xml:space="preserve">service, a private endpoint, or a machine that exists only during the challenge. It</w:t>
      </w:r>
      <w:r>
        <w:t xml:space="preserve"> </w:t>
      </w:r>
      <w:r>
        <w:t xml:space="preserve">runs from a checkout with one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the contract is config-driven:</w:t>
      </w:r>
      <w:r>
        <w:t xml:space="preserve"> </w:t>
      </w:r>
      <w:r>
        <w:t xml:space="preserve">retargeting a step to a real HRIS or payroll provider is a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map write, not a</w:t>
      </w:r>
      <w:r>
        <w:t xml:space="preserve"> </w:t>
      </w:r>
      <w:r>
        <w:t xml:space="preserve">redeploy.</w:t>
      </w:r>
    </w:p>
    <w:p>
      <w:pPr>
        <w:pStyle w:val="BodyText"/>
      </w:pPr>
      <w:r>
        <w:t xml:space="preserve">Running it in two ways is a hedge: the CLI suits a scheduled job or a</w:t>
      </w:r>
      <w:r>
        <w:t xml:space="preserve"> </w:t>
      </w:r>
      <w:r>
        <w:t xml:space="preserve">single operator, the web console suits an HR team that will not open a terminal.</w:t>
      </w:r>
      <w:r>
        <w:t xml:space="preserve"> </w:t>
      </w:r>
      <w:r>
        <w:t xml:space="preserve">Neither carries its own copy of the logic.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Ongoing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TEE contract</w:t>
            </w:r>
          </w:p>
        </w:tc>
        <w:tc>
          <w:tcPr/>
          <w:p>
            <w:pPr>
              <w:pStyle w:val="Compact"/>
            </w:pPr>
            <w:r>
              <w:t xml:space="preserve">Low. 1 389 lines of Rust plus a 94-line WIT world, 15 unit tests with no network dependency. A new step is one</w:t>
            </w:r>
            <w:r>
              <w:t xml:space="preserve"> </w:t>
            </w:r>
            <w:r>
              <w:rPr>
                <w:rStyle w:val="VerbatimChar"/>
              </w:rPr>
              <w:t xml:space="preserve">StepSpec</w:t>
            </w:r>
            <w:r>
              <w:t xml:space="preserve"> </w:t>
            </w:r>
            <w:r>
              <w:t xml:space="preserve">entry plus one</w:t>
            </w:r>
            <w:r>
              <w:t xml:space="preserve"> </w:t>
            </w:r>
            <w:r>
              <w:rPr>
                <w:rStyle w:val="VerbatimChar"/>
              </w:rPr>
              <w:t xml:space="preserve">build_body</w:t>
            </w:r>
            <w:r>
              <w:t xml:space="preserve"> </w:t>
            </w:r>
            <w:r>
              <w:t xml:space="preserve">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services + CLI</w:t>
            </w:r>
          </w:p>
        </w:tc>
        <w:tc>
          <w:tcPr/>
          <w:p>
            <w:pPr>
              <w:pStyle w:val="Compact"/>
            </w:pPr>
            <w:r>
              <w:t xml:space="preserve">Low. Zero build step, no bundler, one runtime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console</w:t>
            </w:r>
          </w:p>
        </w:tc>
        <w:tc>
          <w:tcPr/>
          <w:p>
            <w:pPr>
              <w:pStyle w:val="Compact"/>
            </w:pPr>
            <w:r>
              <w:t xml:space="preserve">Low, because it holds no rules of its own: a panel calls a route, a route calls an existing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integration</w:t>
            </w:r>
          </w:p>
        </w:tc>
        <w:tc>
          <w:tcPr/>
          <w:p>
            <w:pPr>
              <w:pStyle w:val="Compact"/>
            </w:pPr>
            <w:r>
              <w:t xml:space="preserve">The real work, and it lives in configuration plus whichever HRIS/payroll schemas are targeted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upgrades</w:t>
            </w:r>
          </w:p>
        </w:tc>
        <w:tc>
          <w:tcPr/>
          <w:p>
            <w:pPr>
              <w:pStyle w:val="Compact"/>
            </w:pPr>
            <w:r>
              <w:t xml:space="preserve">Two isolated spots: the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  <w:r>
              <w:t xml:space="preserve">/</w:t>
            </w:r>
            <w:r>
              <w:rPr>
                <w:rStyle w:val="VerbatimChar"/>
              </w:rPr>
              <w:t xml:space="preserve">publish</w:t>
            </w:r>
            <w:r>
              <w:t xml:space="preserve"> </w:t>
            </w:r>
            <w:r>
              <w:t xml:space="preserve">fallback in</w:t>
            </w:r>
            <w:r>
              <w:t xml:space="preserve"> </w:t>
            </w:r>
            <w:r>
              <w:rPr>
                <w:rStyle w:val="VerbatimChar"/>
              </w:rPr>
              <w:t xml:space="preserve">deploy</w:t>
            </w:r>
            <w:r>
              <w:t xml:space="preserve">, and the ACL rewiring in</w:t>
            </w:r>
            <w:r>
              <w:t xml:space="preserve"> </w:t>
            </w:r>
            <w:r>
              <w:rPr>
                <w:rStyle w:val="VerbatimChar"/>
              </w:rPr>
              <w:t xml:space="preserve">mapSpecs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and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needs no credentials and no network, and runs on Linux and macOS at Node 22.18 and 24. A new rule lands as a unit test beside the module it constrains</w:t>
            </w:r>
          </w:p>
        </w:tc>
      </w:tr>
    </w:tbl>
    <w:bookmarkStart w:id="29" w:name="if-it-is-handed-over-instead"/>
    <w:p>
      <w:pPr>
        <w:pStyle w:val="Heading3"/>
      </w:pPr>
      <w:r>
        <w:t xml:space="preserve">If it is handed over instead</w:t>
      </w:r>
    </w:p>
    <w:p>
      <w:pPr>
        <w:pStyle w:val="FirstParagraph"/>
      </w:pPr>
      <w:r>
        <w:t xml:space="preserve">The handover is a repository, a tenant, and six steps. There is no state outside</w:t>
      </w:r>
      <w:r>
        <w:t xml:space="preserve"> </w:t>
      </w:r>
      <w:r>
        <w:t xml:space="preserve">the tenant's own maps and the network ledger, so nothing needs migrating.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Access.</w:t>
      </w:r>
      <w:r>
        <w:t xml:space="preserve"> </w:t>
      </w:r>
      <w:r>
        <w:t xml:space="preserve">The tenant is owned by</w:t>
      </w:r>
      <w:r>
        <w:t xml:space="preserve"> </w:t>
      </w:r>
      <w:r>
        <w:rPr>
          <w:rStyle w:val="VerbatimChar"/>
        </w:rPr>
        <w:t xml:space="preserve">did:t3n:50a04efc91641528919da135e31d8995fcd642b3</w:t>
      </w:r>
      <w:r>
        <w:t xml:space="preserve"> </w:t>
      </w:r>
      <w:r>
        <w:t xml:space="preserve">and holds contract</w:t>
      </w:r>
      <w:r>
        <w:t xml:space="preserve"> </w:t>
      </w:r>
      <w:r>
        <w:rPr>
          <w:rStyle w:val="VerbatimChar"/>
        </w:rPr>
        <w:t xml:space="preserve">hr-onboard</w:t>
      </w:r>
      <w:r>
        <w:t xml:space="preserve"> </w:t>
      </w:r>
      <w:r>
        <w:t xml:space="preserve">v0.1.2 (</w:t>
      </w:r>
      <w:r>
        <w:rPr>
          <w:rStyle w:val="VerbatimChar"/>
        </w:rPr>
        <w:t xml:space="preserve">contract_id 1005</w:t>
      </w:r>
      <w:r>
        <w:t xml:space="preserve">). Either transfer that key, or claim a fresh tenant and</w:t>
      </w:r>
      <w:r>
        <w:t xml:space="preserve"> </w:t>
      </w:r>
      <w:r>
        <w:t xml:space="preserve">re-register.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Re-register, only if a fresh tenant.</w:t>
      </w:r>
      <w:r>
        <w:t xml:space="preserve"> </w:t>
      </w:r>
      <w:r>
        <w:rPr>
          <w:rStyle w:val="VerbatimChar"/>
        </w:rPr>
        <w:t xml:space="preserve">npm run build:contract &amp;&amp; npm run deploy</w:t>
      </w:r>
      <w:r>
        <w:t xml:space="preserve"> </w:t>
      </w:r>
      <w:r>
        <w:t xml:space="preserve">builds the wasm and publishes the descriptor.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is safe to re-run: same</w:t>
      </w:r>
      <w:r>
        <w:t xml:space="preserve"> </w:t>
      </w:r>
      <w:r>
        <w:t xml:space="preserve">version reconciles, a higher one registers, a downgrade is reported in one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Egress.</w:t>
      </w:r>
      <w:r>
        <w:t xml:space="preserve"> </w:t>
      </w:r>
      <w:r>
        <w:t xml:space="preserve">A fresh tenant starts deny-all, so a live run is refused until</w:t>
      </w:r>
      <w:r>
        <w:t xml:space="preserve"> </w:t>
      </w:r>
      <w:r>
        <w:rPr>
          <w:rStyle w:val="VerbatimChar"/>
        </w:rPr>
        <w:t xml:space="preserve">hr-onboard grant --agent &lt;did&gt; --hosts &lt;hosts&gt;</w:t>
      </w:r>
      <w:r>
        <w:t xml:space="preserve"> </w:t>
      </w:r>
      <w:r>
        <w:t xml:space="preserve">names the endpoints. The grant is</w:t>
      </w:r>
      <w:r>
        <w:t xml:space="preserve"> </w:t>
      </w:r>
      <w:r>
        <w:t xml:space="preserve">bound to a DID and must be re-issued if the DID changes (Section 6, finding 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Configuration.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writes step endpoints into the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map;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writes upstream credentials into the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map, which only the contract reads.</w:t>
      </w:r>
      <w:r>
        <w:t xml:space="preserve"> </w:t>
      </w:r>
      <w:r>
        <w:t xml:space="preserve">Retargeting a step is a config write, not a redeploy.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Credentials to rotate.</w:t>
      </w:r>
      <w:r>
        <w:t xml:space="preserve"> </w:t>
      </w:r>
      <w:r>
        <w:rPr>
          <w:rStyle w:val="VerbatimChar"/>
        </w:rPr>
        <w:t xml:space="preserve">T3N_API_KEY</w:t>
      </w:r>
      <w:r>
        <w:t xml:space="preserve"> </w:t>
      </w:r>
      <w:r>
        <w:t xml:space="preserve">signs the login challenge, so treat it as</w:t>
      </w:r>
      <w:r>
        <w:t xml:space="preserve"> </w:t>
      </w:r>
      <w:r>
        <w:t xml:space="preserve">a wallet key. Rotate it together with</w:t>
      </w:r>
      <w:r>
        <w:t xml:space="preserve"> </w:t>
      </w:r>
      <w:r>
        <w:rPr>
          <w:rStyle w:val="VerbatimChar"/>
        </w:rPr>
        <w:t xml:space="preserve">HRIS_API_KEY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PAYROLL_API_KEY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, all of which live only in the gitignored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Running cost.</w:t>
      </w:r>
      <w:r>
        <w:t xml:space="preserve"> </w:t>
      </w:r>
      <w:r>
        <w:t xml:space="preserve">The tenant's credit balance pays for dispatch, and the console's</w:t>
      </w:r>
      <w:r>
        <w:t xml:space="preserve"> </w:t>
      </w:r>
      <w:r>
        <w:t xml:space="preserve">session panel shows what is left. Top up at the claim page.</w:t>
      </w:r>
    </w:p>
    <w:p>
      <w:pPr>
        <w:pStyle w:val="FirstParagraph"/>
      </w:pPr>
      <w:r>
        <w:t xml:space="preserve">One caveat about hosting: the console is not deployed publicly, and there</w:t>
      </w:r>
      <w:r>
        <w:t xml:space="preserve"> </w:t>
      </w:r>
      <w:r>
        <w:t xml:space="preserve">is a reason beyond time: a public deployment holds</w:t>
      </w:r>
      <w:r>
        <w:t xml:space="preserve"> </w:t>
      </w:r>
      <w:r>
        <w:rPr>
          <w:rStyle w:val="VerbatimChar"/>
        </w:rPr>
        <w:t xml:space="preserve">T3N_API_KEY</w:t>
      </w:r>
      <w:r>
        <w:t xml:space="preserve"> </w:t>
      </w:r>
      <w:r>
        <w:t xml:space="preserve">in its environment,</w:t>
      </w:r>
      <w:r>
        <w:t xml:space="preserve"> </w:t>
      </w:r>
      <w:r>
        <w:t xml:space="preserve">and any caller who finds the URL can spend the tenant's credits. Putting it online</w:t>
      </w:r>
      <w:r>
        <w:t xml:space="preserve"> </w:t>
      </w:r>
      <w:r>
        <w:t xml:space="preserve">should wait for a</w:t>
      </w:r>
      <w:r>
        <w:t xml:space="preserve"> </w:t>
      </w:r>
      <w:r>
        <w:rPr>
          <w:b/>
          <w:bCs/>
        </w:rPr>
        <w:t xml:space="preserve">separate sandbox key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ONBOARD_ALLOW_LIVE</w:t>
      </w:r>
      <w:r>
        <w:t xml:space="preserve"> </w:t>
      </w:r>
      <w:r>
        <w:t xml:space="preserve">left unset so the deployment can plan but not act. The code</w:t>
      </w:r>
      <w:r>
        <w:t xml:space="preserve"> </w:t>
      </w:r>
      <w:r>
        <w:t xml:space="preserve">supports that mode today.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d84e2891bb949b5a41a917ec9beb352983a1b00"/>
    <w:p>
      <w:pPr>
        <w:pStyle w:val="Heading2"/>
      </w:pPr>
      <w:r>
        <w:t xml:space="preserve">8. Submission form answers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address:</w:t>
      </w:r>
      <w:r>
        <w:t xml:space="preserve"> </w:t>
      </w:r>
      <w:r>
        <w:rPr>
          <w:rStyle w:val="VerbatimChar"/>
        </w:rPr>
        <w:t xml:space="preserve">TODO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DID generated from the page:</w:t>
      </w:r>
      <w:r>
        <w:t xml:space="preserve"> </w:t>
      </w:r>
      <w:r>
        <w:rPr>
          <w:rStyle w:val="VerbatimChar"/>
        </w:rPr>
        <w:t xml:space="preserve">did:t3n:50a04efc91641528919da135e31d8995fcd642b3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Continue running this, or pass it to us to run it:</w:t>
      </w:r>
      <w:r>
        <w:t xml:space="preserve"> </w:t>
      </w:r>
      <w:r>
        <w:rPr>
          <w:b/>
          <w:bCs/>
        </w:rPr>
        <w:t xml:space="preserve">Continue running it</w:t>
      </w:r>
      <w:r>
        <w:t xml:space="preserve">, and</w:t>
      </w:r>
      <w:r>
        <w:t xml:space="preserve"> </w:t>
      </w:r>
      <w:r>
        <w:t xml:space="preserve">equally happy to hand it over. It is a standalone testnet integration with no</w:t>
      </w:r>
      <w:r>
        <w:t xml:space="preserve"> </w:t>
      </w:r>
      <w:r>
        <w:t xml:space="preserve">hosted dependencies; the handover process is Section 7.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9" Target="https://github.com/DikaCream/T3N-Challe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DikaCream/T3N-Challe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2026-09-13T11:39:50Z</dcterms:created>
  <dcterms:modified xsi:type="dcterms:W3CDTF">2026-09-13T11:39:50Z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