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Введение в тему исследования.</w:t>
      </w:r>
    </w:p>
    <w:p>
      <w:r>
        <w:t xml:space="preserve">Концентрация H2SO4 (серной кислоты) не должна превышать значений: содержание SO₂ и CO₂ контролируется методом titration. Предел ≤ 200 мг/л при температуре не выше 80°C. Диапазон концентрации сульфатов составляет 200–300 мг/дм³ согласно ГОСТ. This process uses electrowinning (электроэкстракция) at low pH values.</w:t>
      </w:r>
    </w:p>
    <w:p>
      <w:r>
        <w:t xml:space="preserve">Заключение работы 2019.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Отчёт о лабораторных испытаниях</dc:title>
  <dc:creator>Иванов И.И.; Петров П.П.</dc:creator>
  <dcterms:created>2019-05-01T00:00:00Z</dcterms:created>
</cp:coreProperties>
</file>