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Политика информационной безопасности ООО «Сириус-Soft»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Верхний уровень: Общие положения, цели и стратегические принципы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Организация:</w:t>
      </w:r>
      <w:r w:rsidDel="00000000" w:rsidR="00000000" w:rsidRPr="00000000">
        <w:rPr>
          <w:rtl w:val="0"/>
        </w:rPr>
        <w:t xml:space="preserve"> ООО «Сириус-Soft»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Сфера деятельности:</w:t>
      </w:r>
      <w:r w:rsidDel="00000000" w:rsidR="00000000" w:rsidRPr="00000000">
        <w:rPr>
          <w:rtl w:val="0"/>
        </w:rPr>
        <w:t xml:space="preserve"> Проектирование, разработка, тестирование и сопровождение программного обеспечения, архитектурные решения в сфере Data Engineering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Гриф конфиденциальности:</w:t>
      </w:r>
      <w:r w:rsidDel="00000000" w:rsidR="00000000" w:rsidRPr="00000000">
        <w:rPr>
          <w:rtl w:val="0"/>
        </w:rPr>
        <w:t xml:space="preserve"> Для внутреннего использования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Дата утверждения:</w:t>
      </w:r>
      <w:r w:rsidDel="00000000" w:rsidR="00000000" w:rsidRPr="00000000">
        <w:rPr>
          <w:rtl w:val="0"/>
        </w:rPr>
        <w:t xml:space="preserve"> 19 мая 2026 г.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Общие положения и нормативно-правовая база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Настоящая Политика информационной безопасности (далее — Политика) является основополагающим руководящим документом верхнего уровня ООО «Сириус-Soft». Она определяет стратегический подход компании к защите своих информационных активов, интеллектуальной собственности и инфраструктуры обработки данных от любых видов внутренних и внешних угроз.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Документ разработан в строгом соответствии с действующим законодательством Российской Федерации, международными стандартами и внутренними регламентами: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Федеральный закон № 149-ФЗ «Об информации, информационных технологиях и о защите информации»;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Федеральный закон № 152-ФЗ «О персональных данных»;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Часть четвертая Гражданского кодекса РФ (в области защиты интеллектуальной собственности и авторских прав на программы для ЭВМ и базы данных);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Международный стандарт ГОСТ Р ИСО/МЭК 27001-2021 (ISO/IEC 27001) в сфере систем менеджмента информационной безопасности.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Требования настоящей Политики распространяются на всех штатных сотрудников, стажеров, контрактных разработчиков, системных администраторов, Data-инженеров, а также на сторонних контрагентов, имеющих санкционированный доступ к локальной сети, серверам и облачной инфраструктуре компании.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Миссия, цели и задачи информационной безопасности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Основной миссией обеспечения ИБ в ООО «Сириус-Soft» является минимизация операционных, финансовых и репутационных рисков, связанных с нарушением безопасности данных, а также обеспечение стабильного и непрерывного процесса разработки коммерческого ПО.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реализации миссии установлены следующие ключевые цели: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Обеспечение конфиденциальности:</w:t>
      </w:r>
      <w:r w:rsidDel="00000000" w:rsidR="00000000" w:rsidRPr="00000000">
        <w:rPr>
          <w:rtl w:val="0"/>
        </w:rPr>
        <w:t xml:space="preserve"> Защита коммерческой тайны, авторского исходного кода, алгоритмов обработки больших данных, архитектурных схем и персональных данных клиентов от несанкционированного доступа (НСД) и утечек.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Обеспечение целостности:</w:t>
      </w:r>
      <w:r w:rsidDel="00000000" w:rsidR="00000000" w:rsidRPr="00000000">
        <w:rPr>
          <w:rtl w:val="0"/>
        </w:rPr>
        <w:t xml:space="preserve"> Гарантия неизменности, точности и полноты исходного кода программных продуктов в репозиториях, конфигурационных файлов серверов и аналитических баз данных в процессе их хранения, передачи и обработки.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Обеспечение доступности:</w:t>
      </w:r>
      <w:r w:rsidDel="00000000" w:rsidR="00000000" w:rsidRPr="00000000">
        <w:rPr>
          <w:rtl w:val="0"/>
        </w:rPr>
        <w:t xml:space="preserve"> Предоставление бесперебойного и своевременного доступа авторизованных сотрудников к вычислительным ресурсам, средам разработки (Staging/Production), CI/CD-конвейерам и корпоративным сервисам связи.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Стратегические принципы обеспечения безопасности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Реализация комплексной защиты в компании базируется на следующих принципах: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Принцип минимальных привилегий (Least Privilege):</w:t>
      </w:r>
      <w:r w:rsidDel="00000000" w:rsidR="00000000" w:rsidRPr="00000000">
        <w:rPr>
          <w:rtl w:val="0"/>
        </w:rPr>
        <w:t xml:space="preserve"> Сотруднику предоставляется только тот уровень прав доступа к коду, базам данных и серверам, который минимально необходим для выполнения его текущих должностных обязанностей.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Принцип эшелонированной обороны (Defense in Depth):</w:t>
      </w:r>
      <w:r w:rsidDel="00000000" w:rsidR="00000000" w:rsidRPr="00000000">
        <w:rPr>
          <w:rtl w:val="0"/>
        </w:rPr>
        <w:t xml:space="preserve"> Защита ИТ-инфраструктуры организуется на нескольких уровнях (физическом, сетевом, программном, организационном), чтобы компрометация одного барьера не приводила к полному взлому системы.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Принцип персональной ответственности:</w:t>
      </w:r>
      <w:r w:rsidDel="00000000" w:rsidR="00000000" w:rsidRPr="00000000">
        <w:rPr>
          <w:rtl w:val="0"/>
        </w:rPr>
        <w:t xml:space="preserve"> Каждый пользователь несет персональную юридическую и дисциплинарную ответственность за действия, совершенные под его уникальной учетной записью.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Принцип непрерывного мониторинга:</w:t>
      </w:r>
      <w:r w:rsidDel="00000000" w:rsidR="00000000" w:rsidRPr="00000000">
        <w:rPr>
          <w:rtl w:val="0"/>
        </w:rPr>
        <w:t xml:space="preserve"> Все события безопасности, происходящие в корпоративной сети, системах контроля версий и аналитических платформах, подлежат обязательному автоматическому логированию и регулярному аудиту.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Организационная структура и распределение ролей в сфере ИБ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Для эффективного выполнения требований Политики в компании разграничены зоны ответственности между ключевыми ролями:</w:t>
      </w:r>
    </w:p>
    <w:tbl>
      <w:tblPr>
        <w:tblStyle w:val="Table1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2808"/>
        <w:gridCol w:w="6552"/>
        <w:tblGridChange w:id="0">
          <w:tblGrid>
            <w:gridCol w:w="2808"/>
            <w:gridCol w:w="65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color w:val="1a73e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73e8"/>
                <w:shd w:fill="auto" w:val="clear"/>
                <w:rtl w:val="0"/>
              </w:rPr>
              <w:t xml:space="preserve">Роль / Должность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color w:val="1a73e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73e8"/>
                <w:shd w:fill="auto" w:val="clear"/>
                <w:rtl w:val="0"/>
              </w:rPr>
              <w:t xml:space="preserve">Зона ответственности и обязанности в сфере ИБ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Генеральный директор / Руководство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Утверждение Политики, выделение бюджетов на закупку средств защиты, принятие решений по критическим рискам.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cfc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Отдел информационной безопасности (CISO)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cfc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Разработка регламентов, проведение внутренних расследований инцидентов, аудит уязвимостей, контроль соблюдения парольной защиты.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Системные администраторы / DevOps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Настройка межсетевых экранов, управление правами доступа в Active Directory / LDAP, резервное копирование (Backup), патч-менеджмент ОС.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cfc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Программисты и Data-инженеры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cfc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Соблюдение стандартов безопасного кодинга (OWASP), защита секретов в CI/CD, обеспечение конфиденциальности при обработке тренировочных и продуктовых дата-сетов.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5. Классификация и категорирование информационных активов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Все информационные ресурсы компании подлежат инвентаризации и делению на категории конфиденциальности для оптимизации затрат на защиту:</w:t>
      </w:r>
    </w:p>
    <w:tbl>
      <w:tblPr>
        <w:tblStyle w:val="Table2"/>
        <w:tblW w:w="9360.0" w:type="dxa"/>
        <w:jc w:val="left"/>
        <w:tblBorders>
          <w:top w:color="dadce0" w:space="0" w:sz="6" w:val="single"/>
          <w:left w:color="dadce0" w:space="0" w:sz="6" w:val="single"/>
          <w:bottom w:color="dadce0" w:space="0" w:sz="6" w:val="single"/>
          <w:right w:color="dadce0" w:space="0" w:sz="6" w:val="single"/>
          <w:insideH w:color="dadce0" w:space="0" w:sz="6" w:val="single"/>
          <w:insideV w:color="dadce0" w:space="0" w:sz="6" w:val="single"/>
        </w:tblBorders>
        <w:tblLayout w:type="fixed"/>
        <w:tblLook w:val="0600"/>
      </w:tblPr>
      <w:tblGrid>
        <w:gridCol w:w="2340"/>
        <w:gridCol w:w="4212"/>
        <w:gridCol w:w="2808"/>
        <w:tblGridChange w:id="0">
          <w:tblGrid>
            <w:gridCol w:w="2340"/>
            <w:gridCol w:w="4212"/>
            <w:gridCol w:w="28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color w:val="1a73e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73e8"/>
                <w:shd w:fill="auto" w:val="clear"/>
                <w:rtl w:val="0"/>
              </w:rPr>
              <w:t xml:space="preserve">Уровень критичности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color w:val="1a73e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73e8"/>
                <w:shd w:fill="auto" w:val="clear"/>
                <w:rtl w:val="0"/>
              </w:rPr>
              <w:t xml:space="preserve">Описание информации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e8f0fe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color w:val="1a73e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73e8"/>
                <w:shd w:fill="auto" w:val="clear"/>
                <w:rtl w:val="0"/>
              </w:rPr>
              <w:t xml:space="preserve">Примеры ресурсов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К1 — Строго конфиденциально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Коммерческая тайна. Разглашение приводит к фатальным финансовым или юридическим последствиям для бизнеса.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Продуктовый исходный код Java-приложений, ключи шифрования, учетные данные баз данных, ПДн клиентов.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cfc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К2 — Для служебного пользования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cfc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Внутренние рабочие данные, не предназначенные для публичного ознакомления. Утечка вредит операционной деятельности.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fcfc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Технические задания (ТЗ), архитектурные схемы баз данных, внутренние инструкции, переписка в корпоративном мессенджере.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К3 — Открытые данные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Информация, предназначенная для неограниченного круга лиц. Риски безопасности отсутствуют.</w:t>
            </w:r>
          </w:p>
        </w:tc>
        <w:tc>
          <w:tcPr>
            <w:tcBorders>
              <w:top w:color="dadce0" w:space="0" w:sz="6" w:val="single"/>
              <w:left w:color="dadce0" w:space="0" w:sz="6" w:val="single"/>
              <w:bottom w:color="dadce0" w:space="0" w:sz="6" w:val="single"/>
              <w:right w:color="dadc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/>
            </w:pPr>
            <w:r w:rsidDel="00000000" w:rsidR="00000000" w:rsidRPr="00000000">
              <w:rPr>
                <w:rtl w:val="0"/>
              </w:rPr>
              <w:t xml:space="preserve">Публичный сайт компании, маркетинговые описания релизов, открытые вакансии.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/>
      </w:pPr>
      <w:r w:rsidDel="00000000" w:rsidR="00000000" w:rsidRPr="00000000">
        <w:rPr>
          <w:rtl w:val="0"/>
        </w:rPr>
        <w:t xml:space="preserve">6. Порядок контроля, ответственности и актуализации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Настоящая Политика подлежит регулярному плановому пересмотру Отделом ИБ не реже одного раза в год, а также во внеплановом порядке — при существенных изменениях в ИТ-инфраструктуре или при изменении требований профильного законодательства РФ.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За нарушение требований настоящей Политики сотрудники несут дисциплинарную ответственность в рамках Трудового кодекса РФ (ст. 81, ст. 192). В случаях, повлекших за собой крупный материальный ущерб или умышленное разглашение коммерческой тайны, виновные лица могут быть привлечены к гражданско-правовой, административной (ст. 13.11 КоАП РФ) или уголовной ответственности (ст. 137, ст. 183, ст. 272 УК РФ).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