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Bdr/>
        <w:spacing w:lineRule="auto" w:line="360"/>
        <w:ind w:hanging="0" w:start="0"/>
        <w:jc w:val="center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</w:r>
      <w:bookmarkStart w:id="0" w:name="_heading=h.hnz1tcv6ierl"/>
      <w:bookmarkEnd w:id="0"/>
    </w:p>
    <w:tbl>
      <w:tblPr>
        <w:tblStyle w:val="Table1"/>
        <w:tblW w:w="10350" w:type="dxa"/>
        <w:jc w:val="start"/>
        <w:tblInd w:w="-155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10350"/>
      </w:tblGrid>
      <w:tr>
        <w:trPr>
          <w:trHeight w:val="12665" w:hRule="atLeast"/>
        </w:trPr>
        <w:tc>
          <w:tcPr>
            <w:tcW w:w="10350" w:type="dxa"/>
            <w:tcBorders>
              <w:top w:val="single" w:sz="18" w:space="0" w:color="000000"/>
              <w:start w:val="single" w:sz="18" w:space="0" w:color="000000"/>
              <w:bottom w:val="single" w:sz="18" w:space="0" w:color="000000"/>
              <w:end w:val="single" w:sz="18" w:space="0" w:color="000000"/>
            </w:tcBorders>
          </w:tcPr>
          <w:p>
            <w:pPr>
              <w:pStyle w:val="normal1"/>
              <w:pBdr/>
              <w:spacing w:lineRule="auto" w:line="360"/>
              <w:ind w:hanging="0" w:start="-99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              </w:t>
            </w:r>
          </w:p>
          <w:tbl>
            <w:tblPr>
              <w:tblStyle w:val="Table2"/>
              <w:tblW w:w="10190" w:type="dxa"/>
              <w:jc w:val="center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val="0400"/>
            </w:tblPr>
            <w:tblGrid>
              <w:gridCol w:w="1597"/>
              <w:gridCol w:w="8593"/>
            </w:tblGrid>
            <w:tr>
              <w:trPr>
                <w:trHeight w:val="1127" w:hRule="atLeast"/>
              </w:trPr>
              <w:tc>
                <w:tcPr>
                  <w:tcW w:w="1597" w:type="dxa"/>
                  <w:tcBorders>
                    <w:bottom w:val="single" w:sz="18" w:space="0" w:color="000000"/>
                    <w:end w:val="single" w:sz="18" w:space="0" w:color="000000"/>
                  </w:tcBorders>
                </w:tcPr>
                <w:p>
                  <w:pPr>
                    <w:pStyle w:val="normal1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36"/>
                      <w:szCs w:val="36"/>
                    </w:rPr>
                  </w:pPr>
                  <w:r>
                    <w:rPr/>
                    <w:drawing>
                      <wp:inline distT="0" distB="0" distL="0" distR="0">
                        <wp:extent cx="876300" cy="790575"/>
                        <wp:effectExtent l="0" t="0" r="0" b="0"/>
                        <wp:docPr id="1" name="image1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79057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8593" w:type="dxa"/>
                  <w:tcBorders>
                    <w:start w:val="single" w:sz="18" w:space="0" w:color="000000"/>
                    <w:bottom w:val="single" w:sz="18" w:space="0" w:color="000000"/>
                  </w:tcBorders>
                  <w:vAlign w:val="center"/>
                </w:tcPr>
                <w:p>
                  <w:pPr>
                    <w:pStyle w:val="normal1"/>
                    <w:ind w:hanging="0" w:start="354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32"/>
                      <w:szCs w:val="32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32"/>
                      <w:szCs w:val="32"/>
                    </w:rPr>
                    <w:t>DAYANANDA SAGAR COLLEGE OF ENGINEERING</w:t>
                  </w:r>
                </w:p>
                <w:p>
                  <w:pPr>
                    <w:pStyle w:val="normal1"/>
                    <w:jc w:val="center"/>
                    <w:rPr>
                      <w:rFonts w:ascii="Times New Roman" w:hAnsi="Times New Roman" w:eastAsia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18"/>
                      <w:szCs w:val="18"/>
                    </w:rPr>
                    <w:t>​</w:t>
                  </w:r>
                  <w:r>
                    <w:rPr>
                      <w:rFonts w:eastAsia="Times New Roman" w:cs="Times New Roman" w:ascii="Times New Roman" w:hAnsi="Times New Roman"/>
                      <w:sz w:val="18"/>
                      <w:szCs w:val="18"/>
                    </w:rPr>
                    <w:t>(An Autonomous Institute affiliated to Visvesvaraya Technological University (VTU), Belagavi,</w:t>
                  </w:r>
                </w:p>
                <w:p>
                  <w:pPr>
                    <w:pStyle w:val="normal1"/>
                    <w:jc w:val="center"/>
                    <w:rPr>
                      <w:rFonts w:ascii="Times New Roman" w:hAnsi="Times New Roman" w:eastAsia="Times New Roman" w:cs="Times New Roman"/>
                      <w:sz w:val="18"/>
                      <w:szCs w:val="18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18"/>
                      <w:szCs w:val="18"/>
                    </w:rPr>
                    <w:t>Approved by AICTE and UGC, Accredited by NAAC with 'A' grade)</w:t>
                  </w:r>
                </w:p>
                <w:p>
                  <w:pPr>
                    <w:pStyle w:val="normal1"/>
                    <w:spacing w:lineRule="auto" w:line="240" w:before="60" w:after="0"/>
                    <w:jc w:val="center"/>
                    <w:rPr>
                      <w:rFonts w:ascii="Times New Roman" w:hAnsi="Times New Roman" w:eastAsia="Times New Roman" w:cs="Times New Roman"/>
                      <w:color w:val="000000"/>
                      <w:sz w:val="36"/>
                      <w:szCs w:val="36"/>
                    </w:rPr>
                  </w:pPr>
                  <w:r>
                    <w:rPr>
                      <w:rFonts w:eastAsia="Times New Roman" w:cs="Times New Roman" w:ascii="Times New Roman" w:hAnsi="Times New Roman"/>
                    </w:rPr>
                    <w:t>Shavige Malleshwara Hills, Kumaraswamy Layout, Bengaluru</w:t>
                  </w:r>
                  <w:r>
                    <w:rPr>
                      <w:rFonts w:eastAsia="Arial" w:cs="Arial"/>
                      <w:color w:val="1F1F1F"/>
                      <w:sz w:val="21"/>
                      <w:szCs w:val="21"/>
                      <w:highlight w:val="white"/>
                    </w:rPr>
                    <w:t xml:space="preserve"> </w:t>
                  </w:r>
                  <w:r>
                    <w:rPr>
                      <w:rFonts w:eastAsia="Times New Roman" w:cs="Times New Roman" w:ascii="Times New Roman" w:hAnsi="Times New Roman"/>
                    </w:rPr>
                    <w:t xml:space="preserve">- 560 111. India </w:t>
                  </w:r>
                </w:p>
              </w:tc>
            </w:tr>
          </w:tbl>
          <w:p>
            <w:pPr>
              <w:pStyle w:val="normal1"/>
              <w:spacing w:lineRule="auto" w:line="240"/>
              <w:jc w:val="center"/>
              <w:rPr>
                <w:b/>
                <w:bCs/>
                <w:color w:val="000000"/>
                <w:sz w:val="16"/>
                <w:szCs w:val="16"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</w:r>
          </w:p>
          <w:p>
            <w:pPr>
              <w:pStyle w:val="normal1"/>
              <w:spacing w:lineRule="auto" w:line="240"/>
              <w:jc w:val="center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Department of Information Science and Engineering</w:t>
            </w:r>
          </w:p>
          <w:p>
            <w:pPr>
              <w:pStyle w:val="normal1"/>
              <w:spacing w:lineRule="auto" w:line="24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(Accredited by NBA Tier 1: 2025-2028)</w:t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A Project Synopsis</w:t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on</w:t>
            </w:r>
          </w:p>
          <w:p>
            <w:pPr>
              <w:pStyle w:val="normal1"/>
              <w:pBdr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8"/>
                <w:szCs w:val="28"/>
                <w:highlight w:val="white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8"/>
                <w:szCs w:val="28"/>
                <w:highlight w:val="white"/>
              </w:rPr>
            </w:r>
          </w:p>
          <w:p>
            <w:pPr>
              <w:pStyle w:val="normal1"/>
              <w:pBdr/>
              <w:jc w:val="center"/>
              <w:rPr>
                <w:rFonts w:ascii="Times New Roman" w:hAnsi="Times New Roman"/>
                <w:b/>
                <w:color w:val="000000"/>
                <w:sz w:val="32"/>
                <w:szCs w:val="32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32"/>
                <w:szCs w:val="32"/>
                <w:highlight w:val="white"/>
              </w:rPr>
              <w:t>"</w:t>
            </w:r>
            <w:r>
              <w:rPr>
                <w:rFonts w:ascii="Times New Roman" w:hAnsi="Times New Roman"/>
                <w:b/>
                <w:color w:val="000000"/>
                <w:sz w:val="32"/>
                <w:szCs w:val="32"/>
              </w:rPr>
              <w:t>Temporal Spiking Graph Convolutional Networks for Low-Power Dynamic Transaction Fraud Detection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32"/>
                <w:szCs w:val="32"/>
                <w:highlight w:val="white"/>
              </w:rPr>
              <w:t>"</w:t>
            </w:r>
          </w:p>
          <w:p>
            <w:pPr>
              <w:pStyle w:val="normal1"/>
              <w:pBdr/>
              <w:jc w:val="center"/>
              <w:rPr>
                <w:rFonts w:ascii="Times New Roman" w:hAnsi="Times New Roman" w:eastAsia="Times New Roman" w:cs="Times New Roman"/>
                <w:b/>
                <w:bCs/>
                <w:color w:val="FFFFFF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FFFFFF"/>
                <w:sz w:val="28"/>
                <w:szCs w:val="28"/>
              </w:rPr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ind w:hanging="0" w:start="-63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Submitted as a part of the Final Year Project of</w:t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BACHELOR OF ENGINEERING</w:t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in</w:t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DEPARTMENT OF INFORMATION SCIENCE AND ENGINEERING</w:t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00000"/>
                <w:sz w:val="24"/>
                <w:szCs w:val="24"/>
              </w:rPr>
              <w:t>Submitted by</w:t>
            </w:r>
          </w:p>
          <w:tbl>
            <w:tblPr>
              <w:tblStyle w:val="Table3"/>
              <w:tblW w:w="6085" w:type="dxa"/>
              <w:jc w:val="start"/>
              <w:tblInd w:w="2160" w:type="dxa"/>
              <w:tblLayout w:type="fixed"/>
              <w:tblCellMar>
                <w:top w:w="100" w:type="dxa"/>
                <w:start w:w="100" w:type="dxa"/>
                <w:bottom w:w="100" w:type="dxa"/>
                <w:end w:w="100" w:type="dxa"/>
              </w:tblCellMar>
              <w:tblLook w:val="0600"/>
            </w:tblPr>
            <w:tblGrid>
              <w:gridCol w:w="2665"/>
              <w:gridCol w:w="3420"/>
            </w:tblGrid>
            <w:tr>
              <w:trPr/>
              <w:tc>
                <w:tcPr>
                  <w:tcW w:w="2665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BHOOMIKA N</w:t>
                  </w:r>
                </w:p>
              </w:tc>
              <w:tc>
                <w:tcPr>
                  <w:tcW w:w="3420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1DS23IS031</w:t>
                  </w:r>
                </w:p>
              </w:tc>
            </w:tr>
            <w:tr>
              <w:trPr/>
              <w:tc>
                <w:tcPr>
                  <w:tcW w:w="2665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CHANDRA SHEKAR</w:t>
                  </w:r>
                </w:p>
              </w:tc>
              <w:tc>
                <w:tcPr>
                  <w:tcW w:w="3420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1DS23IS035</w:t>
                  </w:r>
                </w:p>
              </w:tc>
            </w:tr>
            <w:tr>
              <w:trPr/>
              <w:tc>
                <w:tcPr>
                  <w:tcW w:w="2665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CHETAN S</w:t>
                  </w:r>
                </w:p>
              </w:tc>
              <w:tc>
                <w:tcPr>
                  <w:tcW w:w="3420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1DS23IS037</w:t>
                  </w:r>
                </w:p>
              </w:tc>
            </w:tr>
            <w:tr>
              <w:trPr/>
              <w:tc>
                <w:tcPr>
                  <w:tcW w:w="2665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DIKSHITH M</w:t>
                  </w:r>
                </w:p>
              </w:tc>
              <w:tc>
                <w:tcPr>
                  <w:tcW w:w="3420" w:type="dxa"/>
                  <w:tcBorders>
                    <w:top w:val="single" w:sz="8" w:space="0" w:color="000000"/>
                    <w:start w:val="single" w:sz="8" w:space="0" w:color="000000"/>
                    <w:bottom w:val="single" w:sz="8" w:space="0" w:color="000000"/>
                    <w:end w:val="single" w:sz="8" w:space="0" w:color="000000"/>
                  </w:tcBorders>
                  <w:tcMar>
                    <w:top w:w="0" w:type="dxa"/>
                    <w:start w:w="108" w:type="dxa"/>
                    <w:bottom w:w="0" w:type="dxa"/>
                    <w:end w:w="108" w:type="dxa"/>
                  </w:tcMar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1DS23IS044</w:t>
                  </w:r>
                </w:p>
              </w:tc>
            </w:tr>
          </w:tbl>
          <w:p>
            <w:pPr>
              <w:pStyle w:val="normal1"/>
              <w:widowControl w:val="false"/>
              <w:pBdr/>
              <w:spacing w:lineRule="auto" w:line="360" w:before="10" w:after="0"/>
              <w:ind w:hanging="0" w:start="2160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00000"/>
                <w:sz w:val="24"/>
                <w:szCs w:val="24"/>
              </w:rPr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/>
                <w:iCs/>
                <w:color w:val="000000"/>
                <w:sz w:val="24"/>
                <w:szCs w:val="24"/>
              </w:rPr>
              <w:t>Under the guidance of</w:t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 xml:space="preserve">Dr.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Vaidehi M</w:t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Professor</w:t>
            </w:r>
          </w:p>
          <w:p>
            <w:pPr>
              <w:pStyle w:val="normal1"/>
              <w:widowControl w:val="false"/>
              <w:pBdr/>
              <w:spacing w:lineRule="auto" w:line="240" w:before="1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Dept. of ISE, DSCE</w:t>
            </w:r>
          </w:p>
          <w:p>
            <w:pPr>
              <w:pStyle w:val="normal1"/>
              <w:widowControl w:val="false"/>
              <w:pBdr/>
              <w:spacing w:lineRule="auto" w:line="360" w:before="10" w:after="0"/>
              <w:jc w:val="center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</w:r>
          </w:p>
          <w:p>
            <w:pPr>
              <w:pStyle w:val="normal1"/>
              <w:pBdr/>
              <w:tabs>
                <w:tab w:val="clear" w:pos="720"/>
                <w:tab w:val="left" w:pos="4875" w:leader="none"/>
              </w:tabs>
              <w:spacing w:lineRule="auto" w:line="360"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202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6</w:t>
            </w: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-202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7</w:t>
            </w:r>
          </w:p>
        </w:tc>
      </w:tr>
    </w:tbl>
    <w:p>
      <w:pPr>
        <w:pStyle w:val="normal1"/>
        <w:widowControl w:val="false"/>
        <w:spacing w:lineRule="auto" w:line="240" w:before="320" w:after="400"/>
        <w:jc w:val="start"/>
        <w:rPr>
          <w:b/>
          <w:bCs/>
          <w:color w:val="1A365D"/>
        </w:rPr>
      </w:pPr>
      <w:r>
        <w:rPr>
          <w:b/>
          <w:bCs/>
          <w:color w:val="1A365D"/>
        </w:rPr>
      </w:r>
    </w:p>
    <w:tbl>
      <w:tblPr>
        <w:tblStyle w:val="Table4"/>
        <w:tblW w:w="9360" w:type="dxa"/>
        <w:jc w:val="start"/>
        <w:tblInd w:w="0" w:type="dxa"/>
        <w:tblLayout w:type="fixed"/>
        <w:tblCellMar>
          <w:top w:w="120" w:type="dxa"/>
          <w:start w:w="120" w:type="dxa"/>
          <w:bottom w:w="120" w:type="dxa"/>
          <w:end w:w="120" w:type="dxa"/>
        </w:tblCellMar>
        <w:tblLook w:val="0600"/>
      </w:tblPr>
      <w:tblGrid>
        <w:gridCol w:w="2808"/>
        <w:gridCol w:w="6552"/>
      </w:tblGrid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TITLE OF THE PROJECT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Temporal Spiking Graph Convolutional Networks for Low-Power Dynamic Transaction Fraud Detection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PROJECT GUIDE DETAILS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Dr. Vaidehi M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,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Professor, Dept. Of ISE DSCE</w:t>
            </w:r>
          </w:p>
          <w:p>
            <w:pPr>
              <w:pStyle w:val="normal1"/>
              <w:widowControl w:val="false"/>
              <w:spacing w:lineRule="auto" w:line="24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PHONE NO.: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+91 9449024707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EMAIL ID: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vaidehim-ise@dayanandasagar.edu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STUDENT DETAILS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normal1"/>
              <w:widowControl w:val="false"/>
              <w:spacing w:lineRule="auto" w:line="276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  <w:tbl>
            <w:tblPr>
              <w:tblStyle w:val="Table5"/>
              <w:tblW w:w="6522" w:type="dxa"/>
              <w:jc w:val="start"/>
              <w:tblInd w:w="0" w:type="dxa"/>
              <w:tblLayout w:type="fixed"/>
              <w:tblCellMar>
                <w:top w:w="90" w:type="dxa"/>
                <w:start w:w="90" w:type="dxa"/>
                <w:bottom w:w="90" w:type="dxa"/>
                <w:end w:w="90" w:type="dxa"/>
              </w:tblCellMar>
              <w:tblLook w:val="0600"/>
            </w:tblPr>
            <w:tblGrid>
              <w:gridCol w:w="1630"/>
              <w:gridCol w:w="1631"/>
              <w:gridCol w:w="1630"/>
              <w:gridCol w:w="1631"/>
            </w:tblGrid>
            <w:tr>
              <w:trPr/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4"/>
                      <w:szCs w:val="24"/>
                    </w:rPr>
                    <w:t>NAME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4"/>
                      <w:szCs w:val="24"/>
                    </w:rPr>
                    <w:t>USN</w:t>
                  </w:r>
                </w:p>
              </w:tc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4"/>
                      <w:szCs w:val="24"/>
                    </w:rPr>
                    <w:t>PHONE NO.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b/>
                      <w:bCs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sz w:val="24"/>
                      <w:szCs w:val="24"/>
                    </w:rPr>
                    <w:t>EMAIL ID</w:t>
                  </w:r>
                </w:p>
              </w:tc>
            </w:tr>
            <w:tr>
              <w:trPr/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BHOOMIKA N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1DS23IS031</w:t>
                  </w:r>
                </w:p>
              </w:tc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8050665900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1ds23is031@dsce.edu.in</w:t>
                  </w:r>
                </w:p>
              </w:tc>
            </w:tr>
            <w:tr>
              <w:trPr/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CHANDRA SHEKAR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1DS23IS035</w:t>
                  </w:r>
                </w:p>
              </w:tc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7975433944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1ds23is035@dsce.edu.in</w:t>
                  </w:r>
                </w:p>
              </w:tc>
            </w:tr>
            <w:tr>
              <w:trPr/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CHETAN S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1DS23IS037</w:t>
                  </w:r>
                </w:p>
              </w:tc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9590455200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1ds23is037@dsce.edu.in</w:t>
                  </w:r>
                </w:p>
              </w:tc>
            </w:tr>
            <w:tr>
              <w:trPr/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DIKSHITH M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pBdr/>
                    <w:spacing w:lineRule="auto" w:line="240"/>
                    <w:jc w:val="center"/>
                    <w:rPr>
                      <w:rFonts w:ascii="Times New Roman" w:hAnsi="Times New Roman" w:eastAsia="Times New Roman" w:cs="Times New Roman"/>
                      <w:b/>
                      <w:bCs/>
                      <w:color w:val="000000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b/>
                      <w:bCs/>
                      <w:color w:val="000000"/>
                      <w:sz w:val="24"/>
                      <w:szCs w:val="24"/>
                    </w:rPr>
                    <w:t>1DS23IS044</w:t>
                  </w:r>
                </w:p>
              </w:tc>
              <w:tc>
                <w:tcPr>
                  <w:tcW w:w="1630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8971059191</w:t>
                  </w:r>
                </w:p>
              </w:tc>
              <w:tc>
                <w:tcPr>
                  <w:tcW w:w="1631" w:type="dxa"/>
                  <w:tcBorders>
                    <w:top w:val="single" w:sz="6" w:space="0" w:color="000000"/>
                    <w:start w:val="single" w:sz="6" w:space="0" w:color="000000"/>
                    <w:bottom w:val="single" w:sz="6" w:space="0" w:color="000000"/>
                    <w:end w:val="single" w:sz="6" w:space="0" w:color="000000"/>
                  </w:tcBorders>
                  <w:shd w:fill="auto" w:val="clear"/>
                </w:tcPr>
                <w:p>
                  <w:pPr>
                    <w:pStyle w:val="normal1"/>
                    <w:widowControl w:val="false"/>
                    <w:spacing w:lineRule="auto" w:line="240" w:before="90" w:after="90"/>
                    <w:jc w:val="both"/>
                    <w:rPr>
                      <w:rFonts w:ascii="Times New Roman" w:hAnsi="Times New Roman" w:eastAsia="Times New Roman" w:cs="Times New Roman"/>
                      <w:sz w:val="24"/>
                      <w:szCs w:val="24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</w:rPr>
                    <w:t>1ds23is044@dsce.edu.in</w:t>
                  </w:r>
                </w:p>
              </w:tc>
            </w:tr>
          </w:tbl>
          <w:p>
            <w:pPr>
              <w:pStyle w:val="normal1"/>
              <w:widowControl w:val="false"/>
              <w:spacing w:lineRule="auto" w:line="276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PROJECT TIMELINE (Tentative Start and End Date)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August 2026 - June 2027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PROJECT COORDINATORS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Dr. Santosh Anand, Prof. Ayush Mishra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DOMAIN OF THE PROJECT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Spiking Neural Networks (SNNs), Graph Neural Networks (GNNs) &amp; Neuromorphic Engineering for Cyber-Security and Dynamic Network Anomaly Detection (Foundations of Algorithms in Artificial Intelligence &amp; Deep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Learning)</w:t>
            </w:r>
          </w:p>
          <w:p>
            <w:pPr>
              <w:pStyle w:val="normal1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BACKGROUND OF PROJECT WITH REGARD TO THE DRAWBACKS IN EXISTING PROJECTS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High Energy &amp; Compute Overhead of Standard GNNs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: Existing Graph Convolutional Networks (GCNs) execute continuous dense Multiply-Accumulate (O(N·D) MAC) matrix operations across all nodes and edges regardless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of activity, leading to heavy power consumption on cloud GPUs.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Sensitivity to Temporal Noise Spikes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: Standard GNNs perform single-pass continuous feature aggregation without temporal memory; isolated single-timestep noise or feature fluctuations in transaction/packet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logs frequently trigger false positive fraud alarms.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Ignored Neuromorphic Energy Efficiency &amp; Spike Sparsity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: Current network anomaly detection algorithms are engineered for power-hungry cloud data centers rather than low-power, asynchronous neuromorphic edge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hardware (such as Intel Loihi or SynSense).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Lack of Event-Driven Bio-Inspired Dynamics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: Traditional deep learning models ignore subthreshold membrane potential integration (V[t + 1] = βV[t] + I[t + 1]) which naturally acts as a temporal low-pass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filter to suppress isolated noise and preserve temporal spike timing precision.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OBJECTIVES OF THE PROJECT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•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Design and implement a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Temporal Spiking Graph Convolutional Network (TS-GCN)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combining PyTorch Geometric spatial graph message passing with bio-inspired Leaky Integrate-and-Fire (LIF)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spiking neuron dynamics.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 xml:space="preserve">Implement ArcTangent surrogate gradient learning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⎛ </w:t>
            </w:r>
            <w:r>
              <w:rPr>
                <w:rFonts w:ascii="Times New Roman" w:hAnsi="Times New Roman"/>
                <w:color w:val="000000"/>
              </w:rPr>
              <w:t>dS                            α                   ⎞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⎜──── </w:t>
            </w:r>
            <w:r>
              <w:rPr>
                <w:rFonts w:ascii="Times New Roman" w:hAnsi="Times New Roman"/>
                <w:color w:val="000000"/>
              </w:rPr>
              <w:t>=   ─────────────⎟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⎝ </w:t>
            </w:r>
            <w:r>
              <w:rPr>
                <w:rFonts w:ascii="Times New Roman" w:hAnsi="Times New Roman"/>
                <w:color w:val="000000"/>
              </w:rPr>
              <w:t>dU                1 + (πα(U – Vₜₕ))² ⎠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and subtractive membrane potential reset (U ← U - Vₜₕ) to enable Backpropagation Through Time (BPTT).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 xml:space="preserve">Engineer a dynamic network transaction anomaly dataset pipeline with class imbalance handling to simulate realistic financial/network fraud scenarios.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>Benchmark TS-GCN against a baseline Standard GCN across test classification accuracy, minority fraud class F1-Score, ROC-AUC, hidden layer spike sparsity (%), theoretical neuromorphic energy consumption (SOP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vs FLOP in microJoules), and GPU training latency.</w:t>
            </w:r>
          </w:p>
          <w:p>
            <w:pPr>
              <w:pStyle w:val="normal1"/>
              <w:widowControl w:val="false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PROBLEM STATEMENT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Given a dynamic streaming network graph (e.g., financial transaction flows, packet-level network connection logs) containing millions of continuous feature interactions, how can anomalous/fraudulent entities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be detected with high precision while drastically reducing computational energy and latency? Existing Standard GNNs perform continuous dense floating-point operations across all nodes and edges regardless of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activity, leading to heavy power consumption and sensitivity to single-timestep noise spikes. There is a critical need for an event-driven, bio-inspired Spiking GNN framework that integrates spatial graph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convolution with temporal subthreshold membrane dynamics to filter isolated noise, improve minority fraud classification (F1-score), and operate under a highly sparse, energy-efficient neuromorphic computing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paradigm.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SUMMARY OF THE PROJECT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This project presents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Temporal Spiking Graph Convolutional Network (TS-GCN)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, a bio-inspired deep learning framework for dynamic graph anomaly and financial transaction fraud detection. Built using PyTorch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Geometric  and </w:t>
            </w:r>
            <w:r>
              <w:rPr>
                <w:rFonts w:ascii="Times New Roman" w:hAnsi="Times New Roman"/>
                <w:color w:val="000000"/>
              </w:rPr>
              <w:t>snnTorch</w:t>
            </w:r>
            <w:r>
              <w:rPr>
                <w:rFonts w:ascii="Times New Roman" w:hAnsi="Times New Roman"/>
                <w:color w:val="000000"/>
              </w:rPr>
              <w:t xml:space="preserve">, the system operates in four stages: (1) dynamic graph pipeline generation with edge topology and feature distribution shifts representing illicit/anomalous nodes; (2)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spatial graph message passing coupled with Leaky Integrate-and-Fire (LIF) subthreshold potential integration across T = 25 timesteps; (3) non-differentiable step function handling via ArcTangent surrogate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backpropagation and subtractive membrane reset; and (4) comprehensive comparative benchmarking against conventional non-spiking GCNs. On an NVIDIA GPU, TS-GCN achieves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89.33% accuracy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(+8.00% over baseline), a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0.6923 fraud class F1-Score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(+0.1298 boost),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0.9258 ROC-AUC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, a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92.18% hidden layer spike sparsity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(7.82% active firing rate), and a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7.54x reduction in theoretical energy consumption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(2.107 μ J vs 15.897 μ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J), executing 100 epochs in 7.69 seconds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MODE OF CARRYING OUT THE PROJECT (Give details such as within the department/ external organization/ R&amp;D centre details)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•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Carried out within the Department of Information Science and Engineering, under faculty guidance, utilizing open-source scientific software libraries </w:t>
            </w:r>
            <w:r>
              <w:rPr>
                <w:rFonts w:ascii="Times New Roman" w:hAnsi="Times New Roman"/>
                <w:color w:val="000000"/>
              </w:rPr>
              <w:t>— no external organizational sponsorship or proprietary hardware access is required.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 xml:space="preserve">The neuromorphic spiking simulation is implemented entirely as a GPU-accelerated PyTorch pipeline using standard CUDA floating-point math, allowing development, testing, and benchmark demonstration on free Google Colab T4 instances without needing physical neuromorphic hardware chips (such as Intel Loihi).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>Development and model tuning are conducted iteratively in sprints, with periodic progress reviews with project guides.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color w:val="000000"/>
              </w:rPr>
              <w:t>Version control is maintained via Git, and model performance is validated using 80/20 train/test splits and comparative metric benchmarking against standard non-spiking GCN models.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INTENDED BENEFICIARIES OF THE PROJECT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bidi w:val="0"/>
              <w:spacing w:lineRule="auto" w:line="240"/>
              <w:ind w:hanging="0" w:start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Financial Institutions &amp; Payment Processors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: Organizations monitoring credit card, wire, or cryptocurrency transaction graphs who require sub-second anomaly detection with reduced false-positive rates.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Cybersecurity &amp; Network Intrusion Prevention Teams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: System administrators defending IoT networks, ad-hoc sensor networks, or enterprise IT infrastructure against dynamic packet-level anomaly attacks.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Neuromorphic &amp; Edge AI Researchers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: Scholars and engineers designing low-power event-driven AI algorithms for edge chips (e.g., Intel Loihi 2, SynSense, BrainScaleS).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• </w:t>
            </w:r>
            <w:r>
              <w:rPr>
                <w:rFonts w:ascii="Times New Roman" w:hAnsi="Times New Roman"/>
                <w:b/>
                <w:color w:val="000000"/>
              </w:rPr>
              <w:t>Cloud Data Center Operators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: Infrastructure providers seeking energy-sparse algorithms to lower carbon footprint and power draw during high-throughput graph processing.</w:t>
            </w:r>
          </w:p>
          <w:p>
            <w:pPr>
              <w:pStyle w:val="normal1"/>
              <w:widowControl w:val="false"/>
              <w:bidi w:val="0"/>
              <w:spacing w:lineRule="auto" w:line="240"/>
              <w:ind w:hanging="0" w:start="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BASE PAPERS/ RELATED WORK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1.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Eshraghian, J. K., Ward, M., Neftci, E. O., et al. (2023)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"Training Spiking Neural Networks Using snnTorch."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Proceedings of the IEEE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, Vol. 111, No. 9, pp. 1101–1116.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[Publisher: IEEE | Web of Science]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2.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Neftci, E. O., Mostafa, H., &amp; Indiveri, G. (2019)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"Surrogate Gradient Learning Enabled Backpropagation for Spiking Neural Networks."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IEEE Signal Processing Magazine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, Vol. 36, No. 6, pp. 51–63.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[Publisher: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IEEE | Web of Science]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3.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Tavanaei, A., Ghodrati, M., Kheradpisheh, S. R., Masquelier, T., &amp; Maida, A. (2019)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"Deep Learning in Spiking Neural Networks."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Neural Networks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(Elsevier), Vol. 111, pp. 47–63.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[Publisher: Elsevier |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ScienceDirect]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4.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Kipf, T. N., &amp; Welling, M. (2017)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"Semi-Supervised Classification with Graph Convolutional Networks."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International Conference on Learning Representations (ICLR)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/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Springer LNCS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[Publisher: Springer / ACM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Digital Library]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5.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Davies, M., Srinivasa, N., Lin, T. H., et al. (2018)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. "Loihi: A Neuromorphic Manycore Processor with On-Chip Learning."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i/>
                <w:color w:val="000000"/>
              </w:rPr>
            </w:pPr>
            <w:r>
              <w:rPr>
                <w:rFonts w:ascii="Times New Roman" w:hAnsi="Times New Roman"/>
                <w:i/>
                <w:color w:val="000000"/>
              </w:rPr>
              <w:t>IEEE Micro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, Vol. 38, No. 1, pp. 82–99.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b/>
                <w:color w:val="000000"/>
              </w:rPr>
            </w:pPr>
            <w:r>
              <w:rPr>
                <w:rFonts w:ascii="Times New Roman" w:hAnsi="Times New Roman"/>
                <w:b/>
                <w:color w:val="000000"/>
              </w:rPr>
              <w:t>[Publisher: IEEE / ACM Digital Library]</w:t>
            </w:r>
          </w:p>
          <w:p>
            <w:pPr>
              <w:pStyle w:val="normal1"/>
              <w:widowControl w:val="false"/>
              <w:spacing w:lineRule="auto" w:line="240"/>
              <w:ind w:hanging="0" w:start="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ABSTRACT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Real-time anomaly and fraud detection on dynamic streaming networks demands high classification precision under strict computational and energy budgets. Traditional Graph Neural Networks (GCNs) rely on dense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continuous matrix multiplications that consume excessive power and exhibit high sensitivity to single-timestep noise fluctuations. This project presents TS-GCN (Temporal Spiking Graph Convolutional Network), a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bio-inspired framework combining PyTorch Geometric spatial graph convolutions with Leaky Integrate-and-Fire (LIF) spiking neuron dynamics, ArcTangent surrogate gradient backpropagation, and subtractive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membrane reset over T = 25 timesteps. Evaluated on a dynamic network anomaly benchmark against a standard non-spiking GCN baseline, TS-GCN increases test classification accuracy from 81.33% to 89.33%, boosts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minority fraud class F1-Score from 0.5625 to 0.6923 (+0.1298), elevates ROC-AUC from 0.9063 to 0.9258, and achieves a 92.18% hidden layer spike sparsity (7.82% firing rate). Theoretical energy modeling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demonstrates a 7.54x energy reduction (2.107   μ J vs 15.897   μ J per inference pass). The entire pipeline executes in 7.69 seconds for 100 epochs on a standard GPU, offering a zero-cost, publication-grade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>solution for low-power dynamic graph anomaly detection.</w:t>
            </w:r>
          </w:p>
        </w:tc>
      </w:tr>
      <w:tr>
        <w:trPr/>
        <w:tc>
          <w:tcPr>
            <w:tcW w:w="28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KEYWORDS</w:t>
            </w:r>
          </w:p>
        </w:tc>
        <w:tc>
          <w:tcPr>
            <w:tcW w:w="655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 xml:space="preserve">Spiking Neural Networks; Graph Neural Networks; TS-GCN; Neuromorphic Computing; Leaky Integrate-and-Fire; ArcTangent Surrogate Gradient; Fraud Detection; Network Anomaly Detection; Spike Sparsity; PyTorch </w:t>
            </w:r>
          </w:p>
          <w:p>
            <w:pPr>
              <w:pStyle w:val="Normal"/>
              <w:ind w:hanging="0" w:start="0" w:end="0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  <w:t>Geometric; snnTorch; Energy-Efficient AI.</w:t>
            </w:r>
          </w:p>
          <w:p>
            <w:pPr>
              <w:pStyle w:val="normal1"/>
              <w:widowControl w:val="false"/>
              <w:spacing w:lineRule="auto" w:line="240" w:before="120" w:after="120"/>
              <w:jc w:val="both"/>
              <w:rPr>
                <w:rFonts w:ascii="Times New Roman" w:hAnsi="Times New Roman"/>
                <w:color w:val="000000"/>
              </w:rPr>
            </w:pPr>
            <w:r>
              <w:rPr>
                <w:rFonts w:ascii="Times New Roman" w:hAnsi="Times New Roman"/>
                <w:color w:val="000000"/>
              </w:rPr>
            </w:r>
          </w:p>
        </w:tc>
      </w:tr>
    </w:tbl>
    <w:p>
      <w:pPr>
        <w:pStyle w:val="normal1"/>
        <w:widowControl w:val="false"/>
        <w:spacing w:lineRule="auto" w:line="240" w:before="0" w:after="48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Style w:val="Table6"/>
        <w:tblW w:w="936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4680"/>
        <w:gridCol w:w="4680"/>
      </w:tblGrid>
      <w:tr>
        <w:trPr>
          <w:trHeight w:val="1160" w:hRule="atLeast"/>
        </w:trPr>
        <w:tc>
          <w:tcPr>
            <w:tcW w:w="4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Signature of the Guide</w:t>
            </w:r>
          </w:p>
        </w:tc>
        <w:tc>
          <w:tcPr>
            <w:tcW w:w="46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1"/>
              <w:widowControl w:val="false"/>
              <w:spacing w:lineRule="auto" w:line="240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  <w:t>Signature of the Project Coordinators</w:t>
            </w:r>
          </w:p>
        </w:tc>
      </w:tr>
    </w:tbl>
    <w:p>
      <w:pPr>
        <w:pStyle w:val="normal1"/>
        <w:pBdr/>
        <w:spacing w:lineRule="auto" w:line="240"/>
        <w:ind w:hanging="0" w:start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1"/>
        <w:pBdr/>
        <w:spacing w:lineRule="auto" w:line="240"/>
        <w:ind w:hanging="0" w:star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                           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ab/>
        <w:tab/>
        <w:tab/>
        <w:t xml:space="preserve">  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720" w:top="777" w:footer="720" w:bottom="1440"/>
      <w:pgNumType w:start="0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jc w:val="both"/>
      <w:rPr>
        <w:rFonts w:ascii="Times New Roman" w:hAnsi="Times New Roman" w:eastAsia="Times New Roman" w:cs="Times New Roman"/>
        <w:color w:val="434343"/>
        <w:sz w:val="24"/>
        <w:szCs w:val="24"/>
      </w:rPr>
    </w:pPr>
    <w:r>
      <w:rPr>
        <w:rFonts w:eastAsia="Times New Roman" w:cs="Times New Roman" w:ascii="Times New Roman" w:hAnsi="Times New Roman"/>
        <w:color w:val="434343"/>
        <w:sz w:val="24"/>
        <w:szCs w:val="24"/>
      </w:rPr>
      <w:t xml:space="preserve">          </w:t>
    </w:r>
    <w:r>
      <w:rPr>
        <w:rFonts w:eastAsia="Times New Roman" w:cs="Times New Roman" w:ascii="Times New Roman" w:hAnsi="Times New Roman"/>
        <w:color w:val="434343"/>
        <w:sz w:val="24"/>
        <w:szCs w:val="24"/>
      </w:rPr>
      <w:t>2026-27</w:t>
      <w:tab/>
      <w:tab/>
      <w:tab/>
      <w:tab/>
      <w:tab/>
      <w:tab/>
      <w:tab/>
      <w:t xml:space="preserve">                                    Page </w:t>
    </w:r>
    <w:r>
      <w:rPr>
        <w:rFonts w:eastAsia="Times New Roman" w:cs="Times New Roman" w:ascii="Times New Roman" w:hAnsi="Times New Roman"/>
        <w:color w:val="000000"/>
        <w:sz w:val="24"/>
        <w:szCs w:val="24"/>
      </w:rPr>
      <w:fldChar w:fldCharType="begin"/>
    </w:r>
    <w:r>
      <w:rPr>
        <w:rFonts w:eastAsia="Times New Roman" w:cs="Times New Roman" w:ascii="Times New Roman" w:hAnsi="Times New Roman"/>
        <w:color w:val="000000"/>
        <w:sz w:val="24"/>
        <w:szCs w:val="24"/>
      </w:rPr>
      <w:instrText xml:space="preserve"> PAGE </w:instrText>
    </w:r>
    <w:r>
      <w:rPr>
        <w:rFonts w:eastAsia="Times New Roman" w:cs="Times New Roman" w:ascii="Times New Roman" w:hAnsi="Times New Roman"/>
        <w:color w:val="000000"/>
        <w:sz w:val="24"/>
        <w:szCs w:val="24"/>
      </w:rPr>
      <w:fldChar w:fldCharType="separate"/>
    </w:r>
    <w:r>
      <w:rPr>
        <w:rFonts w:eastAsia="Times New Roman" w:cs="Times New Roman" w:ascii="Times New Roman" w:hAnsi="Times New Roman"/>
        <w:color w:val="000000"/>
        <w:sz w:val="24"/>
        <w:szCs w:val="24"/>
      </w:rPr>
      <w:t>6</w:t>
    </w:r>
    <w:r>
      <w:rPr>
        <w:rFonts w:eastAsia="Times New Roman" w:cs="Times New Roman" w:ascii="Times New Roman" w:hAnsi="Times New Roman"/>
        <w:color w:val="000000"/>
        <w:sz w:val="24"/>
        <w:szCs w:val="24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pBdr/>
      <w:jc w:val="both"/>
      <w:rPr>
        <w:rFonts w:ascii="Times New Roman" w:hAnsi="Times New Roman" w:eastAsia="Times New Roman" w:cs="Times New Roman"/>
        <w:color w:val="434343"/>
        <w:sz w:val="24"/>
        <w:szCs w:val="24"/>
      </w:rPr>
    </w:pPr>
    <w:r>
      <w:rPr>
        <w:rFonts w:eastAsia="Times New Roman" w:cs="Times New Roman" w:ascii="Times New Roman" w:hAnsi="Times New Roman"/>
        <w:color w:val="434343"/>
        <w:sz w:val="24"/>
        <w:szCs w:val="24"/>
      </w:rPr>
      <w:t xml:space="preserve"> </w:t>
    </w:r>
    <w:r>
      <w:rPr>
        <w:rFonts w:eastAsia="Times New Roman" w:cs="Times New Roman" w:ascii="Times New Roman" w:hAnsi="Times New Roman"/>
        <w:color w:val="434343"/>
        <w:sz w:val="24"/>
        <w:szCs w:val="24"/>
      </w:rPr>
      <w:t xml:space="preserve">Project Synopsis                                                                                   </w:t>
    </w:r>
    <w:r>
      <w:rPr>
        <w:rFonts w:eastAsia="Times New Roman" w:cs="Times New Roman" w:ascii="Times New Roman" w:hAnsi="Times New Roman"/>
        <w:color w:val="434343"/>
        <w:sz w:val="20"/>
        <w:szCs w:val="20"/>
      </w:rPr>
      <w:t>Dept of ISE, DSCE, Bangalore</w:t>
    </w:r>
    <w:r>
      <w:rPr>
        <w:rFonts w:eastAsia="Times New Roman" w:cs="Times New Roman" w:ascii="Times New Roman" w:hAnsi="Times New Roman"/>
        <w:color w:val="434343"/>
        <w:sz w:val="24"/>
        <w:szCs w:val="24"/>
      </w:rPr>
      <w:tab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Bdr/>
      <w:spacing w:lineRule="auto" w:line="240" w:before="400" w:after="120"/>
    </w:pPr>
    <w:rPr>
      <w:color w:val="000000"/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Bdr/>
      <w:spacing w:lineRule="auto" w:line="240" w:before="360" w:after="120"/>
    </w:pPr>
    <w:rPr>
      <w:color w:val="000000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Bdr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Bdr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Bdr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pBdr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I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Bdr/>
      <w:spacing w:lineRule="auto" w:line="240" w:before="0" w:after="60"/>
    </w:pPr>
    <w:rPr>
      <w:color w:val="000000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Bdr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3A0NYhOo1SLiIA4UOMDX2q49w3Q==">CgMxLjAyDmguaG56MXRjdjZpZXJsOAByITF3SHU2VnQ2M0xndDNreVhhUEFEUHNxUlF0NGlvNVZ6Mw==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</TotalTime>
  <Application>LibreOffice/26.2.4.2$Linux_X86_64 LibreOffice_project/620$Build-2</Application>
  <AppVersion>15.0000</AppVersion>
  <Pages>7</Pages>
  <Words>1383</Words>
  <Characters>8794</Characters>
  <CharactersWithSpaces>10308</CharactersWithSpaces>
  <Paragraphs>179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2026-08-08T23:21:44Z</dcterms:modified>
  <cp:revision>1</cp:revision>
  <dc:subject/>
  <dc:title/>
</cp:coreProperties>
</file>