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lineRule="auto" w:line="360" w:before="240" w:after="120"/>
        <w:jc w:val="center"/>
        <w:rPr>
          <w:rFonts w:ascii="Times New Roman" w:hAnsi="Times New Roman"/>
        </w:rPr>
      </w:pPr>
      <w:r>
        <w:rPr>
          <w:rFonts w:ascii="Times New Roman" w:hAnsi="Times New Roman"/>
        </w:rPr>
      </w:r>
    </w:p>
    <w:p>
      <w:pPr>
        <w:pStyle w:val="Heading1"/>
        <w:numPr>
          <w:ilvl w:val="0"/>
          <w:numId w:val="1"/>
        </w:numPr>
        <w:spacing w:lineRule="auto" w:line="360"/>
        <w:jc w:val="center"/>
        <w:rPr>
          <w:rFonts w:ascii="Times New Roman" w:hAnsi="Times New Roman"/>
        </w:rPr>
      </w:pPr>
      <w:r>
        <w:rPr>
          <w:rFonts w:ascii="Times New Roman" w:hAnsi="Times New Roman"/>
        </w:rPr>
        <w:t>AI-Based Content Moderation System for Social Media</w:t>
      </w:r>
    </w:p>
    <w:p>
      <w:pPr>
        <w:pStyle w:val="Heading2"/>
        <w:numPr>
          <w:ilvl w:val="1"/>
          <w:numId w:val="1"/>
        </w:numPr>
        <w:spacing w:lineRule="auto" w:line="360"/>
        <w:rPr>
          <w:rFonts w:ascii="Times New Roman" w:hAnsi="Times New Roman"/>
        </w:rPr>
      </w:pPr>
      <w:r>
        <w:rPr>
          <w:rFonts w:ascii="Times New Roman" w:hAnsi="Times New Roman"/>
        </w:rPr>
        <w:t>1. Introduction</w:t>
      </w:r>
    </w:p>
    <w:p>
      <w:pPr>
        <w:pStyle w:val="BodyText"/>
        <w:spacing w:lineRule="auto" w:line="360"/>
        <w:jc w:val="both"/>
        <w:rPr>
          <w:rFonts w:ascii="Times New Roman" w:hAnsi="Times New Roman"/>
        </w:rPr>
      </w:pPr>
      <w:r>
        <w:rPr>
          <w:rFonts w:ascii="Times New Roman" w:hAnsi="Times New Roman"/>
        </w:rPr>
        <w:t>An AI-Based Content Moderation System for Social Media is an advanced solution that leverages machine learning algorithms and natural language processing to automatically identify, classify, and manage inappropriate or policy-violating content across social media platforms. The system ensures user safety, maintains platform integrity, and provides a secure environment for community interaction while respecting user privacy and freedom of expression.</w:t>
      </w:r>
    </w:p>
    <w:p>
      <w:pPr>
        <w:pStyle w:val="BodyText"/>
        <w:spacing w:lineRule="auto" w:line="360"/>
        <w:jc w:val="both"/>
        <w:rPr>
          <w:rFonts w:ascii="Times New Roman" w:hAnsi="Times New Roman"/>
        </w:rPr>
      </w:pPr>
      <w:r>
        <w:rPr>
          <w:rFonts w:ascii="Times New Roman" w:hAnsi="Times New Roman"/>
        </w:rPr>
        <w:t>The Content Moderation System integrates state-of-the-art AI technologies including deep learning models, computer vision, and NLP techniques to process multi-modal content (text, images, videos) in real-time. The platform employs a microservices architecture with distributed processing capabilities, allowing social media platforms to scale moderation operations globally while maintaining consistent policy enforcement across regions.</w:t>
      </w:r>
    </w:p>
    <w:p>
      <w:pPr>
        <w:pStyle w:val="BodyText"/>
        <w:spacing w:lineRule="auto" w:line="360"/>
        <w:jc w:val="both"/>
        <w:rPr>
          <w:rFonts w:ascii="Times New Roman" w:hAnsi="Times New Roman"/>
        </w:rPr>
      </w:pPr>
      <w:r>
        <w:rPr>
          <w:rFonts w:ascii="Times New Roman" w:hAnsi="Times New Roman"/>
        </w:rPr>
        <w:t>The architecture comprises multiple tiers: a Content Ingestion Engine that collects and preprocesses submissions from various platform sources, an AI Analytics Layer utilizing trained ML models for content classification, a Review Management System for escalation to human moderators, a Decision Engine that applies platform policies, and a Logging &amp; Analytics Module for tracking moderation decisions and system performance. This multi-layered approach ensures both the speed of automated systems and the nuance of human judgment.</w:t>
      </w:r>
    </w:p>
    <w:p>
      <w:pPr>
        <w:pStyle w:val="BodyText"/>
        <w:spacing w:lineRule="auto" w:line="360"/>
        <w:jc w:val="both"/>
        <w:rPr>
          <w:rFonts w:ascii="Times New Roman" w:hAnsi="Times New Roman"/>
        </w:rPr>
      </w:pPr>
      <w:r>
        <w:rPr>
          <w:rFonts w:ascii="Times New Roman" w:hAnsi="Times New Roman"/>
        </w:rPr>
        <w:t>From a functional perspective, the system manages the complete content lifecycle—from submission through classification to enforcement action. Users can submit content reports, track moderation status, and appeal decisions. Moderators can review flagged content, make decisions, and provide feedback. Administrators monitor system metrics, tune model parameters, and manage policy updates.</w:t>
      </w:r>
    </w:p>
    <w:p>
      <w:pPr>
        <w:pStyle w:val="BodyText"/>
        <w:spacing w:lineRule="auto" w:line="360"/>
        <w:jc w:val="both"/>
        <w:rPr>
          <w:rFonts w:ascii="Times New Roman" w:hAnsi="Times New Roman"/>
        </w:rPr>
      </w:pPr>
      <w:r>
        <w:rPr>
          <w:rFonts w:ascii="Times New Roman" w:hAnsi="Times New Roman"/>
        </w:rPr>
        <w:t>Overall, the AI-Based Content Moderation System represents a critical advancement in platform governance, combining automation with human oversight to create safer digital spaces while maintaining fairness and transparency. It addresses the challenge of scaling content review across millions of daily submissions without sacrificing quality or accountability.</w:t>
      </w:r>
    </w:p>
    <w:p>
      <w:pPr>
        <w:pStyle w:val="Heading3"/>
        <w:numPr>
          <w:ilvl w:val="0"/>
          <w:numId w:val="0"/>
        </w:numPr>
        <w:spacing w:lineRule="auto" w:line="360"/>
        <w:ind w:hanging="0" w:start="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Functional Requirements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Content Ingestion &amp; Preprocessing</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Multi-Modal Content Analysis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Automated Content Classification</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Appeal Management System</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Moderator Dashboard &amp; Review Interface</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Policy Management &amp; Updates</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Real-Time Notification System</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Content Action Enforcement</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Analytics &amp; Reporting</w:t>
      </w:r>
    </w:p>
    <w:p>
      <w:pPr>
        <w:pStyle w:val="BodyText"/>
        <w:numPr>
          <w:ilvl w:val="0"/>
          <w:numId w:val="2"/>
        </w:numPr>
        <w:tabs>
          <w:tab w:val="left" w:pos="709" w:leader="none"/>
        </w:tabs>
        <w:spacing w:lineRule="auto" w:line="360"/>
        <w:rPr>
          <w:rFonts w:ascii="Times New Roman" w:hAnsi="Times New Roman"/>
        </w:rPr>
      </w:pPr>
      <w:r>
        <w:rPr>
          <w:rFonts w:ascii="Times New Roman" w:hAnsi="Times New Roman"/>
        </w:rPr>
        <w:t>User Appeal Review System</w:t>
      </w:r>
    </w:p>
    <w:p>
      <w:pPr>
        <w:pStyle w:val="Heading3"/>
        <w:numPr>
          <w:ilvl w:val="0"/>
          <w:numId w:val="0"/>
        </w:numPr>
        <w:spacing w:lineRule="auto" w:line="360"/>
        <w:ind w:hanging="0" w:start="0"/>
        <w:rPr>
          <w:rFonts w:ascii="Times New Roman" w:hAnsi="Times New Roman"/>
        </w:rPr>
      </w:pPr>
      <w:r>
        <w:rPr>
          <w:rFonts w:ascii="Times New Roman" w:hAnsi="Times New Roman"/>
        </w:rPr>
        <w:t>Non-Functional Requirements</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b/>
        </w:rPr>
        <w:t>Performance</w:t>
      </w:r>
      <w:r>
        <w:rPr>
          <w:rFonts w:ascii="Times New Roman" w:hAnsi="Times New Roman"/>
        </w:rPr>
        <w:t>: Processes submissions within 2 seconds for automated decisions</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b/>
        </w:rPr>
        <w:t>Scalability</w:t>
      </w:r>
      <w:r>
        <w:rPr>
          <w:rFonts w:ascii="Times New Roman" w:hAnsi="Times New Roman"/>
        </w:rPr>
        <w:t>: Handles millions of submissions daily across global regions</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b/>
        </w:rPr>
        <w:t>Accuracy</w:t>
      </w:r>
      <w:r>
        <w:rPr>
          <w:rFonts w:ascii="Times New Roman" w:hAnsi="Times New Roman"/>
        </w:rPr>
        <w:t>: Achieves 95%+ accuracy in content classification with human review backup</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b/>
        </w:rPr>
        <w:t>Security</w:t>
      </w:r>
      <w:r>
        <w:rPr>
          <w:rFonts w:ascii="Times New Roman" w:hAnsi="Times New Roman"/>
        </w:rPr>
        <w:t>: Encrypts sensitive user data and moderator information</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b/>
        </w:rPr>
        <w:t>Reliability</w:t>
      </w:r>
      <w:r>
        <w:rPr>
          <w:rFonts w:ascii="Times New Roman" w:hAnsi="Times New Roman"/>
        </w:rPr>
        <w:t>: 99.9% uptime with disaster recovery capabilities</w:t>
      </w:r>
    </w:p>
    <w:p>
      <w:pPr>
        <w:pStyle w:val="BodyText"/>
        <w:numPr>
          <w:ilvl w:val="0"/>
          <w:numId w:val="3"/>
        </w:numPr>
        <w:tabs>
          <w:tab w:val="left" w:pos="709" w:leader="none"/>
        </w:tabs>
        <w:spacing w:lineRule="auto" w:line="360"/>
        <w:rPr>
          <w:rFonts w:ascii="Times New Roman" w:hAnsi="Times New Roman"/>
        </w:rPr>
      </w:pPr>
      <w:r>
        <w:rPr>
          <w:rFonts w:ascii="Times New Roman" w:hAnsi="Times New Roman"/>
          <w:b/>
        </w:rPr>
        <w:t>Usability</w:t>
      </w:r>
      <w:r>
        <w:rPr>
          <w:rFonts w:ascii="Times New Roman" w:hAnsi="Times New Roman"/>
        </w:rPr>
        <w:t>: Intuitive interfaces for both end-users and moderation teams</w:t>
      </w:r>
    </w:p>
    <w:p>
      <w:pPr>
        <w:pStyle w:val="Heading2"/>
        <w:numPr>
          <w:ilvl w:val="0"/>
          <w:numId w:val="0"/>
        </w:numPr>
        <w:spacing w:lineRule="auto" w:line="360"/>
        <w:ind w:hanging="0" w:start="0"/>
        <w:rPr>
          <w:rFonts w:ascii="Times New Roman" w:hAnsi="Times New Roman"/>
        </w:rPr>
      </w:pPr>
      <w:r>
        <w:rPr>
          <w:rFonts w:ascii="Times New Roman" w:hAnsi="Times New Roman"/>
        </w:rPr>
      </w:r>
    </w:p>
    <w:p>
      <w:pPr>
        <w:pStyle w:val="BodyText"/>
        <w:rPr/>
      </w:pPr>
      <w:r>
        <w:rPr/>
      </w:r>
    </w:p>
    <w:p>
      <w:pPr>
        <w:pStyle w:val="Heading2"/>
        <w:numPr>
          <w:ilvl w:val="1"/>
          <w:numId w:val="1"/>
        </w:numPr>
        <w:spacing w:lineRule="auto" w:line="360"/>
        <w:rPr>
          <w:rFonts w:ascii="Times New Roman" w:hAnsi="Times New Roman"/>
        </w:rPr>
      </w:pPr>
      <w:r>
        <w:rPr>
          <w:rFonts w:ascii="Times New Roman" w:hAnsi="Times New Roman"/>
        </w:rPr>
        <w:t>2. UML Diagrams</w:t>
      </w:r>
    </w:p>
    <w:p>
      <w:pPr>
        <w:pStyle w:val="Heading3"/>
        <w:numPr>
          <w:ilvl w:val="2"/>
          <w:numId w:val="1"/>
        </w:numPr>
        <w:spacing w:lineRule="auto" w:line="360"/>
        <w:rPr>
          <w:rFonts w:ascii="Times New Roman" w:hAnsi="Times New Roman"/>
        </w:rPr>
      </w:pPr>
      <w:r>
        <w:rPr>
          <w:rFonts w:ascii="Times New Roman" w:hAnsi="Times New Roman"/>
        </w:rPr>
        <w:t>2.1 Use Case Diagram</w:t>
      </w:r>
    </w:p>
    <w:p>
      <w:pPr>
        <w:pStyle w:val="BodyText"/>
        <w:spacing w:lineRule="auto" w:line="360"/>
        <w:jc w:val="center"/>
        <w:rPr>
          <w:b/>
        </w:rPr>
      </w:pPr>
      <w:r>
        <w:rPr/>
        <w:drawing>
          <wp:inline distT="0" distB="0" distL="0" distR="0">
            <wp:extent cx="5884545" cy="3288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84545" cy="3288665"/>
                    </a:xfrm>
                    <a:prstGeom prst="rect">
                      <a:avLst/>
                    </a:prstGeom>
                    <a:noFill/>
                  </pic:spPr>
                </pic:pic>
              </a:graphicData>
            </a:graphic>
          </wp:inline>
        </w:drawing>
      </w:r>
    </w:p>
    <w:p>
      <w:pPr>
        <w:pStyle w:val="BodyText"/>
        <w:numPr>
          <w:ilvl w:val="0"/>
          <w:numId w:val="4"/>
        </w:numPr>
        <w:tabs>
          <w:tab w:val="left" w:pos="709" w:leader="none"/>
        </w:tabs>
        <w:spacing w:lineRule="auto" w:line="360"/>
        <w:rPr>
          <w:rFonts w:ascii="Times New Roman" w:hAnsi="Times New Roman"/>
          <w:b/>
        </w:rPr>
      </w:pPr>
      <w:r>
        <w:rPr>
          <w:rFonts w:ascii="Times New Roman" w:hAnsi="Times New Roman"/>
          <w:b/>
        </w:rPr>
        <w:t>Diagram Type: usecase</w:t>
      </w:r>
    </w:p>
    <w:p>
      <w:pPr>
        <w:pStyle w:val="BodyText"/>
        <w:numPr>
          <w:ilvl w:val="0"/>
          <w:numId w:val="4"/>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Use Case Diagram"</w:t>
      </w:r>
    </w:p>
    <w:p>
      <w:pPr>
        <w:pStyle w:val="BodyText"/>
        <w:spacing w:lineRule="auto" w:line="360"/>
        <w:rPr>
          <w:rFonts w:ascii="Times New Roman" w:hAnsi="Times New Roman"/>
        </w:rPr>
      </w:pPr>
      <w:r>
        <w:rPr>
          <w:rFonts w:ascii="Times New Roman" w:hAnsi="Times New Roman"/>
          <w:b/>
        </w:rPr>
        <w:t>Scenario</w:t>
      </w:r>
      <w:r>
        <w:rPr>
          <w:rFonts w:ascii="Times New Roman" w:hAnsi="Times New Roman"/>
        </w:rPr>
        <w:t>: Community Safety Management and Automated Enforcement</w:t>
      </w:r>
    </w:p>
    <w:p>
      <w:pPr>
        <w:pStyle w:val="BodyText"/>
        <w:spacing w:lineRule="auto" w:line="360"/>
        <w:jc w:val="both"/>
        <w:rPr>
          <w:rFonts w:ascii="Times New Roman" w:hAnsi="Times New Roman"/>
        </w:rPr>
      </w:pPr>
      <w:r>
        <w:rPr>
          <w:rFonts w:ascii="Times New Roman" w:hAnsi="Times New Roman"/>
        </w:rPr>
        <w:t>The Use Case Diagram defines the functional boundaries of the AI Content Moderation System by detailing how different roles interact with the platform during a typical moderation workflow.</w:t>
      </w:r>
    </w:p>
    <w:p>
      <w:pPr>
        <w:pStyle w:val="BodyText"/>
        <w:spacing w:lineRule="auto" w:line="360"/>
        <w:jc w:val="both"/>
        <w:rPr>
          <w:rFonts w:ascii="Times New Roman" w:hAnsi="Times New Roman"/>
        </w:rPr>
      </w:pPr>
      <w:r>
        <w:rPr>
          <w:rFonts w:ascii="Times New Roman" w:hAnsi="Times New Roman"/>
          <w:b/>
        </w:rPr>
        <w:t>The User Journey</w:t>
      </w:r>
      <w:r>
        <w:rPr>
          <w:rFonts w:ascii="Times New Roman" w:hAnsi="Times New Roman"/>
        </w:rPr>
        <w:t>: In this scenario, a social media user encounters potentially inappropriate content and initiates a report. The process begins with the "Report Content" use case. Because of the &lt;&lt;include&gt;&gt; relationship, the system automatically triggers the "Analyze Content" use case via the AI Engine. Once classification is complete, the user receives a "View Report Status" confirmation. Behind the scenes, the "Check Content Policies" use case ensures the content is evaluated against current platform guidelines.</w:t>
      </w:r>
    </w:p>
    <w:p>
      <w:pPr>
        <w:pStyle w:val="BodyText"/>
        <w:spacing w:lineRule="auto" w:line="360"/>
        <w:jc w:val="both"/>
        <w:rPr>
          <w:rFonts w:ascii="Times New Roman" w:hAnsi="Times New Roman"/>
        </w:rPr>
      </w:pPr>
      <w:r>
        <w:rPr>
          <w:rFonts w:ascii="Times New Roman" w:hAnsi="Times New Roman"/>
          <w:b/>
        </w:rPr>
        <w:t>The Moderator Path</w:t>
      </w:r>
      <w:r>
        <w:rPr>
          <w:rFonts w:ascii="Times New Roman" w:hAnsi="Times New Roman"/>
        </w:rPr>
        <w:t>: Simultaneously, a Content Moderator reviews the system's flagged content. They interact with the "Review Flagged Content" use case, which includes "Make Moderation Decision" and optionally "Request Additional Analysis" if the automated decision confidence is low. If the moderator disagrees with the AI classification, they can access the "Override AI Decision" use case.</w:t>
      </w:r>
    </w:p>
    <w:p>
      <w:pPr>
        <w:pStyle w:val="BodyText"/>
        <w:spacing w:lineRule="auto" w:line="360"/>
        <w:jc w:val="both"/>
        <w:rPr>
          <w:rFonts w:ascii="Times New Roman" w:hAnsi="Times New Roman"/>
        </w:rPr>
      </w:pPr>
      <w:r>
        <w:rPr>
          <w:rFonts w:ascii="Times New Roman" w:hAnsi="Times New Roman"/>
          <w:b/>
        </w:rPr>
        <w:t>System Boundaries</w:t>
      </w:r>
      <w:r>
        <w:rPr>
          <w:rFonts w:ascii="Times New Roman" w:hAnsi="Times New Roman"/>
        </w:rPr>
        <w:t>: The diagram establishes that while the AI Engine is a primary actor providing automated analysis, the final enforcement actions require either moderator approval or policy-based automation. The "Enforce Action" use case can be triggered by high-confidence automated decisions or moderator rulings, demonstrating the hybrid human-in-the-loop approach.</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2.2 Activity Diagram</w:t>
      </w:r>
    </w:p>
    <w:p>
      <w:pPr>
        <w:pStyle w:val="BodyText"/>
        <w:jc w:val="center"/>
        <w:rPr/>
      </w:pPr>
      <w:r>
        <w:rPr/>
        <w:drawing>
          <wp:inline distT="0" distB="0" distL="0" distR="0">
            <wp:extent cx="6013450" cy="3361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013450" cy="3361055"/>
                    </a:xfrm>
                    <a:prstGeom prst="rect">
                      <a:avLst/>
                    </a:prstGeom>
                    <a:noFill/>
                  </pic:spPr>
                </pic:pic>
              </a:graphicData>
            </a:graphic>
          </wp:inline>
        </w:drawing>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activity</w:t>
      </w:r>
    </w:p>
    <w:p>
      <w:pPr>
        <w:pStyle w:val="BodyText"/>
        <w:numPr>
          <w:ilvl w:val="0"/>
          <w:numId w:val="5"/>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Activity Diagram"</w:t>
      </w:r>
    </w:p>
    <w:p>
      <w:pPr>
        <w:pStyle w:val="BodyText"/>
        <w:spacing w:lineRule="auto" w:line="360"/>
        <w:jc w:val="both"/>
        <w:rPr>
          <w:rFonts w:ascii="Times New Roman" w:hAnsi="Times New Roman"/>
        </w:rPr>
      </w:pPr>
      <w:r>
        <w:rPr>
          <w:rFonts w:ascii="Times New Roman" w:hAnsi="Times New Roman"/>
          <w:b/>
        </w:rPr>
        <w:t>Scenario</w:t>
      </w:r>
      <w:r>
        <w:rPr>
          <w:rFonts w:ascii="Times New Roman" w:hAnsi="Times New Roman"/>
        </w:rPr>
        <w:t>: End-to-End Content Submission and Moderation Lifecycle</w:t>
      </w:r>
    </w:p>
    <w:p>
      <w:pPr>
        <w:pStyle w:val="BodyText"/>
        <w:spacing w:lineRule="auto" w:line="360"/>
        <w:jc w:val="both"/>
        <w:rPr>
          <w:rFonts w:ascii="Times New Roman" w:hAnsi="Times New Roman"/>
        </w:rPr>
      </w:pPr>
      <w:r>
        <w:rPr>
          <w:rFonts w:ascii="Times New Roman" w:hAnsi="Times New Roman"/>
        </w:rPr>
        <w:t>The Activity Diagram captures the dynamic workflow of the system, acting as a flowchart for content movement from submission to final action enforcement.</w:t>
      </w:r>
    </w:p>
    <w:p>
      <w:pPr>
        <w:pStyle w:val="BodyText"/>
        <w:spacing w:lineRule="auto" w:line="360"/>
        <w:jc w:val="both"/>
        <w:rPr>
          <w:rFonts w:ascii="Times New Roman" w:hAnsi="Times New Roman"/>
        </w:rPr>
      </w:pPr>
      <w:r>
        <w:rPr>
          <w:rFonts w:ascii="Times New Roman" w:hAnsi="Times New Roman"/>
          <w:b/>
        </w:rPr>
        <w:t>Submission and Preprocessing</w:t>
      </w:r>
      <w:r>
        <w:rPr>
          <w:rFonts w:ascii="Times New Roman" w:hAnsi="Times New Roman"/>
        </w:rPr>
        <w:t>: The scenario begins with "User Submits Content," which can be text, image, or video. The first critical decision diamond is "Content Type Valid?" If invalid (corrupted, unsupported format), the system terminates with an error notification. If valid, the flow continues to "Extract Features" and "Run Preprocessing Pipeline," including text cleaning, image resizing, or video frame sampling.</w:t>
      </w:r>
    </w:p>
    <w:p>
      <w:pPr>
        <w:pStyle w:val="BodyText"/>
        <w:spacing w:lineRule="auto" w:line="360"/>
        <w:jc w:val="both"/>
        <w:rPr>
          <w:rFonts w:ascii="Times New Roman" w:hAnsi="Times New Roman"/>
        </w:rPr>
      </w:pPr>
      <w:r>
        <w:rPr>
          <w:rFonts w:ascii="Times New Roman" w:hAnsi="Times New Roman"/>
          <w:b/>
        </w:rPr>
        <w:t>Classification Phase</w:t>
      </w:r>
      <w:r>
        <w:rPr>
          <w:rFonts w:ascii="Times New Roman" w:hAnsi="Times New Roman"/>
        </w:rPr>
        <w:t>: The system then enters the "Route to AI Models" parallel processing phase. Text content goes to NLP classifiers (detecting hate speech, violence, misinformation), while images route to computer vision models (detecting NSFW, weapons, dangerous objects). Video content undergoes frame extraction and optical character recognition (OCR). These processes run concurrently to minimize latency.</w:t>
      </w:r>
    </w:p>
    <w:p>
      <w:pPr>
        <w:pStyle w:val="BodyText"/>
        <w:spacing w:lineRule="auto" w:line="360"/>
        <w:jc w:val="both"/>
        <w:rPr>
          <w:rFonts w:ascii="Times New Roman" w:hAnsi="Times New Roman"/>
        </w:rPr>
      </w:pPr>
      <w:r>
        <w:rPr>
          <w:rFonts w:ascii="Times New Roman" w:hAnsi="Times New Roman"/>
          <w:b/>
        </w:rPr>
        <w:t>Decision and Review</w:t>
      </w:r>
      <w:r>
        <w:rPr>
          <w:rFonts w:ascii="Times New Roman" w:hAnsi="Times New Roman"/>
        </w:rPr>
        <w:t>: After classification, the system checks "Is Confidence Score &gt; Threshold?" If the automated decision confidence exceeds the threshold (e.g., &gt;95%), the system proceeds to "Auto-Apply Action" and directly enforces removal, labeling, or other penalties. If confidence is lower, the flow diverts to "Queue for Moderator Review." Moderators then perform "Manual Review," leading to "Make Final Decision," which may agree with or override the AI recommendation.</w:t>
      </w:r>
    </w:p>
    <w:p>
      <w:pPr>
        <w:pStyle w:val="BodyText"/>
        <w:spacing w:lineRule="auto" w:line="360"/>
        <w:jc w:val="both"/>
        <w:rPr>
          <w:rFonts w:ascii="Times New Roman" w:hAnsi="Times New Roman"/>
        </w:rPr>
      </w:pPr>
      <w:r>
        <w:rPr>
          <w:rFonts w:ascii="Times New Roman" w:hAnsi="Times New Roman"/>
          <w:b/>
        </w:rPr>
        <w:t>Enforcement and Notification</w:t>
      </w:r>
      <w:r>
        <w:rPr>
          <w:rFonts w:ascii="Times New Roman" w:hAnsi="Times New Roman"/>
        </w:rPr>
        <w:t>: The final stages involve "Record Decision" (storing the moderation action in the database), "Notify User" (informing the content creator of the outcome), "Log Analytics Data" (capturing metrics for model improvement), and "Update Confidence Scores" based on human feedback. The diagram concludes with "Close Case," after which the process becomes available for auditing.</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2.3 Sequence Diagram</w:t>
      </w:r>
    </w:p>
    <w:p>
      <w:pPr>
        <w:pStyle w:val="BodyText"/>
        <w:spacing w:lineRule="auto" w:line="360"/>
        <w:jc w:val="center"/>
        <w:rPr>
          <w:rFonts w:ascii="Times New Roman" w:hAnsi="Times New Roman"/>
        </w:rPr>
      </w:pPr>
      <w:r>
        <w:rPr/>
        <w:drawing>
          <wp:inline distT="0" distB="0" distL="0" distR="0">
            <wp:extent cx="6466840" cy="3614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466840" cy="3614420"/>
                    </a:xfrm>
                    <a:prstGeom prst="rect">
                      <a:avLst/>
                    </a:prstGeom>
                    <a:noFill/>
                  </pic:spPr>
                </pic:pic>
              </a:graphicData>
            </a:graphic>
          </wp:inline>
        </w:drawing>
      </w:r>
    </w:p>
    <w:p>
      <w:pPr>
        <w:pStyle w:val="BodyText"/>
        <w:numPr>
          <w:ilvl w:val="0"/>
          <w:numId w:val="6"/>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sequence</w:t>
      </w:r>
    </w:p>
    <w:p>
      <w:pPr>
        <w:pStyle w:val="BodyText"/>
        <w:numPr>
          <w:ilvl w:val="0"/>
          <w:numId w:val="6"/>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Sequence Diagram"</w:t>
      </w:r>
    </w:p>
    <w:p>
      <w:pPr>
        <w:pStyle w:val="BodyText"/>
        <w:spacing w:lineRule="auto" w:line="360"/>
        <w:rPr>
          <w:rFonts w:ascii="Times New Roman" w:hAnsi="Times New Roman"/>
        </w:rPr>
      </w:pPr>
      <w:r>
        <w:rPr>
          <w:rFonts w:ascii="Times New Roman" w:hAnsi="Times New Roman"/>
          <w:b/>
        </w:rPr>
        <w:t>Scenario</w:t>
      </w:r>
      <w:r>
        <w:rPr>
          <w:rFonts w:ascii="Times New Roman" w:hAnsi="Times New Roman"/>
        </w:rPr>
        <w:t>: Multi-Modal Content Analysis and Human Escalation</w:t>
      </w:r>
    </w:p>
    <w:p>
      <w:pPr>
        <w:pStyle w:val="BodyText"/>
        <w:spacing w:lineRule="auto" w:line="360"/>
        <w:jc w:val="both"/>
        <w:rPr>
          <w:rFonts w:ascii="Times New Roman" w:hAnsi="Times New Roman"/>
        </w:rPr>
      </w:pPr>
      <w:r>
        <w:rPr>
          <w:rFonts w:ascii="Times New Roman" w:hAnsi="Times New Roman"/>
        </w:rPr>
        <w:t>The Sequence Diagram provides a time-ordered view of message exchanges between the User Interface, Content Ingestion Service, AI Classification Engine, Review Queue Manager, Moderator Dashboard, Policy Engine, and Storage Layer during a complex moderation event.</w:t>
      </w:r>
    </w:p>
    <w:p>
      <w:pPr>
        <w:pStyle w:val="BodyText"/>
        <w:spacing w:lineRule="auto" w:line="360"/>
        <w:jc w:val="both"/>
        <w:rPr>
          <w:rFonts w:ascii="Times New Roman" w:hAnsi="Times New Roman"/>
        </w:rPr>
      </w:pPr>
      <w:r>
        <w:rPr>
          <w:rFonts w:ascii="Times New Roman" w:hAnsi="Times New Roman"/>
          <w:b/>
        </w:rPr>
        <w:t>The Ingestion Phase</w:t>
      </w:r>
      <w:r>
        <w:rPr>
          <w:rFonts w:ascii="Times New Roman" w:hAnsi="Times New Roman"/>
        </w:rPr>
        <w:t>: The sequence begins when a User submits content via the User Interface component. The UI sends a "submitContent()" message to the Content Ingestion Service, passing metadata (user ID, timestamp, platform origin). The Ingestion Service validates the request and returns an "acknowledgment()" with a tracking ID, ensuring the user receives immediate feedback.</w:t>
      </w:r>
    </w:p>
    <w:p>
      <w:pPr>
        <w:pStyle w:val="BodyText"/>
        <w:spacing w:lineRule="auto" w:line="360"/>
        <w:jc w:val="both"/>
        <w:rPr>
          <w:rFonts w:ascii="Times New Roman" w:hAnsi="Times New Roman"/>
        </w:rPr>
      </w:pPr>
      <w:r>
        <w:rPr>
          <w:rFonts w:ascii="Times New Roman" w:hAnsi="Times New Roman"/>
          <w:b/>
        </w:rPr>
        <w:t>The Analysis Phase</w:t>
      </w:r>
      <w:r>
        <w:rPr>
          <w:rFonts w:ascii="Times New Roman" w:hAnsi="Times New Roman"/>
        </w:rPr>
        <w:t>: The Ingestion Service then distributes the content to specialized AI Classification Engines. For text, it sends "analyzeText(content, policies)" to the NLP Engine, which performs sentiment analysis, toxicity detection, and topic classification. For images, it sends "analyzeImage(file_path)" to the Computer Vision Engine, which detects NSFW content, weapons, and other sensitive objects. These calls occur in parallel via asynchronous messaging.</w:t>
      </w:r>
    </w:p>
    <w:p>
      <w:pPr>
        <w:pStyle w:val="BodyText"/>
        <w:spacing w:lineRule="auto" w:line="360"/>
        <w:jc w:val="both"/>
        <w:rPr>
          <w:rFonts w:ascii="Times New Roman" w:hAnsi="Times New Roman"/>
        </w:rPr>
      </w:pPr>
      <w:r>
        <w:rPr>
          <w:rFonts w:ascii="Times New Roman" w:hAnsi="Times New Roman"/>
          <w:b/>
        </w:rPr>
        <w:t>The Decision Phase</w:t>
      </w:r>
      <w:r>
        <w:rPr>
          <w:rFonts w:ascii="Times New Roman" w:hAnsi="Times New Roman"/>
        </w:rPr>
        <w:t>: The Review Queue Manager aggregates results and calculates a "confidence_score" combining predictions from all models. If the score exceeds the threshold, it sends "auto_approve_action(action_type, reason)" directly to the Policy Engine. If below threshold, it sends "queue_for_review(content_id, analysis_results, priority)" to the Moderator Dashboard. This decision point is crucial for balancing automation efficiency with quality assurance.</w:t>
      </w:r>
    </w:p>
    <w:p>
      <w:pPr>
        <w:pStyle w:val="BodyText"/>
        <w:spacing w:lineRule="auto" w:line="360"/>
        <w:jc w:val="both"/>
        <w:rPr>
          <w:rFonts w:ascii="Times New Roman" w:hAnsi="Times New Roman"/>
        </w:rPr>
      </w:pPr>
      <w:r>
        <w:rPr>
          <w:rFonts w:ascii="Times New Roman" w:hAnsi="Times New Roman"/>
          <w:b/>
        </w:rPr>
        <w:t>The Review Phase</w:t>
      </w:r>
      <w:r>
        <w:rPr>
          <w:rFonts w:ascii="Times New Roman" w:hAnsi="Times New Roman"/>
        </w:rPr>
        <w:t>: When human review is needed, the Moderator Dashboard receives the queued content and displays "getContentDetails()" to the Moderator. The moderator reviews the AI analysis summary and original content, then sends "submitModerationDecision(decision, notes)" back to the Review Queue Manager. If the moderator overrides the AI, the system logs "override_recorded(moderator_id, reason)" in the Storage Layer for audit trails.</w:t>
      </w:r>
    </w:p>
    <w:p>
      <w:pPr>
        <w:pStyle w:val="BodyText"/>
        <w:spacing w:lineRule="auto" w:line="360"/>
        <w:jc w:val="both"/>
        <w:rPr>
          <w:rFonts w:ascii="Times New Roman" w:hAnsi="Times New Roman"/>
        </w:rPr>
      </w:pPr>
      <w:r>
        <w:rPr>
          <w:rFonts w:ascii="Times New Roman" w:hAnsi="Times New Roman"/>
          <w:b/>
        </w:rPr>
        <w:t>The Enforcement and Notification Phase</w:t>
      </w:r>
      <w:r>
        <w:rPr>
          <w:rFonts w:ascii="Times New Roman" w:hAnsi="Times New Roman"/>
        </w:rPr>
        <w:t>: Once a final decision is made (either automatic or manual), the Policy Engine executes "applyPolicyAction(action)" based on the decision type (remove, label, suspend, etc.). It then sends notifications via the Notification Service to the content creator ("Your content was removed") and optionally to the reporting user ("Action taken on reported content"). The sequence concludes when all parties receive confirmation messages.</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2.4 Collaboration Diagram</w:t>
      </w:r>
    </w:p>
    <w:p>
      <w:pPr>
        <w:pStyle w:val="BodyText"/>
        <w:spacing w:lineRule="auto" w:line="360"/>
        <w:jc w:val="center"/>
        <w:rPr>
          <w:rFonts w:ascii="Times New Roman" w:hAnsi="Times New Roman"/>
        </w:rPr>
      </w:pPr>
      <w:r>
        <w:rPr/>
        <w:drawing>
          <wp:inline distT="0" distB="0" distL="0" distR="0">
            <wp:extent cx="6217920" cy="3475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217920" cy="3475355"/>
                    </a:xfrm>
                    <a:prstGeom prst="rect">
                      <a:avLst/>
                    </a:prstGeom>
                    <a:noFill/>
                  </pic:spPr>
                </pic:pic>
              </a:graphicData>
            </a:graphic>
          </wp:inline>
        </w:drawing>
      </w:r>
    </w:p>
    <w:p>
      <w:pPr>
        <w:pStyle w:val="BodyText"/>
        <w:numPr>
          <w:ilvl w:val="0"/>
          <w:numId w:val="7"/>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collaboration</w:t>
      </w:r>
    </w:p>
    <w:p>
      <w:pPr>
        <w:pStyle w:val="BodyText"/>
        <w:numPr>
          <w:ilvl w:val="0"/>
          <w:numId w:val="7"/>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Collaboration Diagram"</w:t>
      </w:r>
    </w:p>
    <w:p>
      <w:pPr>
        <w:pStyle w:val="BodyText"/>
        <w:spacing w:lineRule="auto" w:line="360"/>
        <w:jc w:val="both"/>
        <w:rPr>
          <w:rFonts w:ascii="Times New Roman" w:hAnsi="Times New Roman"/>
        </w:rPr>
      </w:pPr>
      <w:r>
        <w:rPr>
          <w:rFonts w:ascii="Times New Roman" w:hAnsi="Times New Roman"/>
          <w:b/>
        </w:rPr>
        <w:t>Scenario</w:t>
      </w:r>
      <w:r>
        <w:rPr>
          <w:rFonts w:ascii="Times New Roman" w:hAnsi="Times New Roman"/>
        </w:rPr>
        <w:t>: Object-Oriented Coordination for Real-Time Moderation Updates</w:t>
      </w:r>
    </w:p>
    <w:p>
      <w:pPr>
        <w:pStyle w:val="BodyText"/>
        <w:spacing w:lineRule="auto" w:line="360"/>
        <w:jc w:val="both"/>
        <w:rPr>
          <w:rFonts w:ascii="Times New Roman" w:hAnsi="Times New Roman"/>
        </w:rPr>
      </w:pPr>
      <w:r>
        <w:rPr>
          <w:rFonts w:ascii="Times New Roman" w:hAnsi="Times New Roman"/>
        </w:rPr>
        <w:t>While the Sequence Diagram focuses on time-ordering, the Collaboration Diagram emphasizes the structural relationships—how objects interact and coordinate to achieve complex moderation outcomes.</w:t>
      </w:r>
    </w:p>
    <w:p>
      <w:pPr>
        <w:pStyle w:val="BodyText"/>
        <w:spacing w:lineRule="auto" w:line="360"/>
        <w:jc w:val="both"/>
        <w:rPr>
          <w:rFonts w:ascii="Times New Roman" w:hAnsi="Times New Roman"/>
        </w:rPr>
      </w:pPr>
      <w:r>
        <w:rPr>
          <w:rFonts w:ascii="Times New Roman" w:hAnsi="Times New Roman"/>
          <w:b/>
        </w:rPr>
        <w:t>The Request Chain</w:t>
      </w:r>
      <w:r>
        <w:rPr>
          <w:rFonts w:ascii="Times New Roman" w:hAnsi="Times New Roman"/>
        </w:rPr>
        <w:t>: In this scenario, a user wants to appeal a moderation decision. The User Interface (Object 1) initiates the process by sending message "1. Initiate Appeal" to the Appeal Manager (Object 2). The Appeal Manager doesn't directly access case data; instead, it sends "2. Fetch Case Details" to the Case Repository (Object 3), which retrieves the original moderation record. Object 3 returns "3. Case Data Retrieved" back to Object 2.</w:t>
      </w:r>
    </w:p>
    <w:p>
      <w:pPr>
        <w:pStyle w:val="BodyText"/>
        <w:spacing w:lineRule="auto" w:line="360"/>
        <w:jc w:val="both"/>
        <w:rPr>
          <w:rFonts w:ascii="Times New Roman" w:hAnsi="Times New Roman"/>
        </w:rPr>
      </w:pPr>
      <w:r>
        <w:rPr>
          <w:rFonts w:ascii="Times New Roman" w:hAnsi="Times New Roman"/>
          <w:b/>
        </w:rPr>
        <w:t>The Coordination Chain</w:t>
      </w:r>
      <w:r>
        <w:rPr>
          <w:rFonts w:ascii="Times New Roman" w:hAnsi="Times New Roman"/>
        </w:rPr>
        <w:t>: The Appeal Manager then coordinates with multiple services. It sends "4. Retrieve Moderation Rationale" to the Decision Logger (Object 4), asking for the reasoning behind the original decision. Simultaneously, it sends "5. Queue Appeal for Review" to the Human Review Queue (Object 5). Object 5 doesn't immediately know who should review it, so it queries the "6. Get Next Available Moderator" to the Moderator Pool Service (Object 6).</w:t>
      </w:r>
    </w:p>
    <w:p>
      <w:pPr>
        <w:pStyle w:val="BodyText"/>
        <w:spacing w:lineRule="auto" w:line="360"/>
        <w:jc w:val="both"/>
        <w:rPr>
          <w:rFonts w:ascii="Times New Roman" w:hAnsi="Times New Roman"/>
        </w:rPr>
      </w:pPr>
      <w:r>
        <w:rPr>
          <w:rFonts w:ascii="Times New Roman" w:hAnsi="Times New Roman"/>
          <w:b/>
        </w:rPr>
        <w:t>The Notification and Update Chain</w:t>
      </w:r>
      <w:r>
        <w:rPr>
          <w:rFonts w:ascii="Times New Roman" w:hAnsi="Times New Roman"/>
        </w:rPr>
        <w:t>: Once a moderator is assigned, the Human Review Queue sends "7. Assign Appeal to Moderator" to the Moderator Dashboard (Object 7). The Dashboard notifies the moderator of the appeal and collects the decision. When the moderator submits "8. Submit Appeal Decision," the Decision Logger records it and sends "9. Update Case Status" to the Case Repository. The Case Repository then broadcasts "10. Case Resolved" to notify the Policy Engine (Object 8) to remove any suppression labels and notify the user.</w:t>
      </w:r>
    </w:p>
    <w:p>
      <w:pPr>
        <w:pStyle w:val="BodyText"/>
        <w:spacing w:lineRule="auto" w:line="360"/>
        <w:jc w:val="both"/>
        <w:rPr>
          <w:rFonts w:ascii="Times New Roman" w:hAnsi="Times New Roman"/>
        </w:rPr>
      </w:pPr>
      <w:r>
        <w:rPr>
          <w:rFonts w:ascii="Times New Roman" w:hAnsi="Times New Roman"/>
          <w:b/>
        </w:rPr>
        <w:t>The Analytics Chain</w:t>
      </w:r>
      <w:r>
        <w:rPr>
          <w:rFonts w:ascii="Times New Roman" w:hAnsi="Times New Roman"/>
        </w:rPr>
        <w:t>: Throughout this process, the Analytics Service (Object 9) "collects" data from multiple touchpoints, calculating metrics like average appeal resolution time, appeal approval rate, and moderator consistency. This information feeds back into model retraining and policy adjustments.</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2.5 Class Diagram</w:t>
      </w:r>
    </w:p>
    <w:p>
      <w:pPr>
        <w:pStyle w:val="BodyText"/>
        <w:spacing w:lineRule="auto" w:line="360"/>
        <w:jc w:val="center"/>
        <w:rPr>
          <w:rFonts w:ascii="Times New Roman" w:hAnsi="Times New Roman"/>
        </w:rPr>
      </w:pPr>
      <w:r>
        <w:rPr/>
        <w:drawing>
          <wp:inline distT="0" distB="0" distL="0" distR="0">
            <wp:extent cx="6185535" cy="345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185535" cy="3457575"/>
                    </a:xfrm>
                    <a:prstGeom prst="rect">
                      <a:avLst/>
                    </a:prstGeom>
                    <a:noFill/>
                  </pic:spPr>
                </pic:pic>
              </a:graphicData>
            </a:graphic>
          </wp:inline>
        </w:drawing>
      </w:r>
    </w:p>
    <w:p>
      <w:pPr>
        <w:pStyle w:val="BodyText"/>
        <w:numPr>
          <w:ilvl w:val="0"/>
          <w:numId w:val="8"/>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class</w:t>
      </w:r>
    </w:p>
    <w:p>
      <w:pPr>
        <w:pStyle w:val="BodyText"/>
        <w:numPr>
          <w:ilvl w:val="0"/>
          <w:numId w:val="8"/>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Class Diagram"</w:t>
      </w:r>
    </w:p>
    <w:p>
      <w:pPr>
        <w:pStyle w:val="BodyText"/>
        <w:spacing w:lineRule="auto" w:line="360"/>
        <w:jc w:val="both"/>
        <w:rPr>
          <w:rFonts w:ascii="Times New Roman" w:hAnsi="Times New Roman"/>
        </w:rPr>
      </w:pPr>
      <w:r>
        <w:rPr>
          <w:rFonts w:ascii="Times New Roman" w:hAnsi="Times New Roman"/>
          <w:b/>
        </w:rPr>
        <w:t>Scenario</w:t>
      </w:r>
      <w:r>
        <w:rPr>
          <w:rFonts w:ascii="Times New Roman" w:hAnsi="Times New Roman"/>
        </w:rPr>
        <w:t>: The Architectural Blueprint of Moderation Logic</w:t>
      </w:r>
    </w:p>
    <w:p>
      <w:pPr>
        <w:pStyle w:val="BodyText"/>
        <w:spacing w:lineRule="auto" w:line="360"/>
        <w:jc w:val="both"/>
        <w:rPr>
          <w:rFonts w:ascii="Times New Roman" w:hAnsi="Times New Roman"/>
        </w:rPr>
      </w:pPr>
      <w:r>
        <w:rPr>
          <w:rFonts w:ascii="Times New Roman" w:hAnsi="Times New Roman"/>
        </w:rPr>
        <w:t>The Class Diagram serves as the structural DNA of the system, defining the classes, their attributes, methods, and inheritance/dependency relationships.</w:t>
      </w:r>
    </w:p>
    <w:p>
      <w:pPr>
        <w:pStyle w:val="BodyText"/>
        <w:spacing w:lineRule="auto" w:line="360"/>
        <w:jc w:val="both"/>
        <w:rPr>
          <w:rFonts w:ascii="Times New Roman" w:hAnsi="Times New Roman"/>
        </w:rPr>
      </w:pPr>
      <w:r>
        <w:rPr>
          <w:rFonts w:ascii="Times New Roman" w:hAnsi="Times New Roman"/>
          <w:b/>
        </w:rPr>
        <w:t>Core Entity Classes</w:t>
      </w:r>
      <w:r>
        <w:rPr>
          <w:rFonts w:ascii="Times New Roman" w:hAnsi="Times New Roman"/>
        </w:rPr>
        <w:t>: The Content class is the central entity. It encapsulates attributes like contentID: String, contentText: String, mediaFiles: List&lt;File&gt;, submittedBy: UserID, timestamp: DateTime, and status: Enum(Pending, Approved, Rejected, Appealed). It includes methods like extractFeatures(), getMetadata(), and updateStatus(). The Content class composes with the Metadata class, which holds platform origin, device info, and location data.</w:t>
      </w:r>
    </w:p>
    <w:p>
      <w:pPr>
        <w:pStyle w:val="BodyText"/>
        <w:spacing w:lineRule="auto" w:line="360"/>
        <w:jc w:val="both"/>
        <w:rPr>
          <w:rFonts w:ascii="Times New Roman" w:hAnsi="Times New Roman"/>
        </w:rPr>
      </w:pPr>
      <w:r>
        <w:rPr>
          <w:rFonts w:ascii="Times New Roman" w:hAnsi="Times New Roman"/>
          <w:b/>
        </w:rPr>
        <w:t>Service Layer Dependencies</w:t>
      </w:r>
      <w:r>
        <w:rPr>
          <w:rFonts w:ascii="Times New Roman" w:hAnsi="Times New Roman"/>
        </w:rPr>
        <w:t>: The ModerationService class acts as the orchestrator. It maintains a "Has-A" relationship with multiple analyzer classes: TextAnalyzer, ImageAnalyzer, and VideoAnalyzer. The ModerationService includes methods like analyzeContent(), getClassificationResult(), and escalateToHuman(). Each analyzer inherits from an abstract ContentAnalyzer class, ensuring consistent interfaces.</w:t>
      </w:r>
    </w:p>
    <w:p>
      <w:pPr>
        <w:pStyle w:val="BodyText"/>
        <w:spacing w:lineRule="auto" w:line="360"/>
        <w:jc w:val="both"/>
        <w:rPr>
          <w:rFonts w:ascii="Times New Roman" w:hAnsi="Times New Roman"/>
        </w:rPr>
      </w:pPr>
      <w:r>
        <w:rPr>
          <w:rFonts w:ascii="Times New Roman" w:hAnsi="Times New Roman"/>
          <w:b/>
        </w:rPr>
        <w:t>Data Management</w:t>
      </w:r>
      <w:r>
        <w:rPr>
          <w:rFonts w:ascii="Times New Roman" w:hAnsi="Times New Roman"/>
        </w:rPr>
        <w:t>: The ModeratorReview class captures human decisions, with attributes like reviewerID: String, reviewNotes: String, finalDecision: Enum(Approved, Rejected, Escalated), confidence: Float, and timestamp: DateTime. The DecisionLog class maintains audit trails with relationships to both Content and ModeratorReview, enabling traceability.</w:t>
      </w:r>
    </w:p>
    <w:p>
      <w:pPr>
        <w:pStyle w:val="BodyText"/>
        <w:spacing w:lineRule="auto" w:line="360"/>
        <w:jc w:val="both"/>
        <w:rPr>
          <w:rFonts w:ascii="Times New Roman" w:hAnsi="Times New Roman"/>
        </w:rPr>
      </w:pPr>
      <w:r>
        <w:rPr>
          <w:rFonts w:ascii="Times New Roman" w:hAnsi="Times New Roman"/>
          <w:b/>
        </w:rPr>
        <w:t>Policy and Configuration</w:t>
      </w:r>
      <w:r>
        <w:rPr>
          <w:rFonts w:ascii="Times New Roman" w:hAnsi="Times New Roman"/>
        </w:rPr>
        <w:t>: The PolicyEngine class contains the logic for enforcing actions. It reads from a Policy class that stores moderation guidelines, action thresholds, and appeal procedures. If the system needs to update policies or deploy new models, only the attributes within PolicyEngine and Policy need modification; dependent classes like ModerationService automatically inherit the updated behavior through their dependency relationships.</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2.6 State Chart Diagram</w:t>
      </w:r>
    </w:p>
    <w:p>
      <w:pPr>
        <w:pStyle w:val="BodyText"/>
        <w:spacing w:lineRule="auto" w:line="360"/>
        <w:jc w:val="center"/>
        <w:rPr>
          <w:rFonts w:ascii="Times New Roman" w:hAnsi="Times New Roman"/>
        </w:rPr>
      </w:pPr>
      <w:r>
        <w:rPr/>
        <w:drawing>
          <wp:inline distT="0" distB="0" distL="0" distR="0">
            <wp:extent cx="6174740" cy="3451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6174740" cy="3451225"/>
                    </a:xfrm>
                    <a:prstGeom prst="rect">
                      <a:avLst/>
                    </a:prstGeom>
                    <a:noFill/>
                  </pic:spPr>
                </pic:pic>
              </a:graphicData>
            </a:graphic>
          </wp:inline>
        </w:drawing>
      </w:r>
    </w:p>
    <w:p>
      <w:pPr>
        <w:pStyle w:val="BodyText"/>
        <w:numPr>
          <w:ilvl w:val="0"/>
          <w:numId w:val="9"/>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statechart</w:t>
      </w:r>
    </w:p>
    <w:p>
      <w:pPr>
        <w:pStyle w:val="BodyText"/>
        <w:numPr>
          <w:ilvl w:val="0"/>
          <w:numId w:val="9"/>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State Chart Diagram"</w:t>
      </w:r>
    </w:p>
    <w:p>
      <w:pPr>
        <w:pStyle w:val="BodyText"/>
        <w:spacing w:lineRule="auto" w:line="360"/>
        <w:jc w:val="both"/>
        <w:rPr>
          <w:rFonts w:ascii="Times New Roman" w:hAnsi="Times New Roman"/>
        </w:rPr>
      </w:pPr>
      <w:r>
        <w:rPr>
          <w:rFonts w:ascii="Times New Roman" w:hAnsi="Times New Roman"/>
          <w:b/>
        </w:rPr>
        <w:t>Scenario</w:t>
      </w:r>
      <w:r>
        <w:rPr>
          <w:rFonts w:ascii="Times New Roman" w:hAnsi="Times New Roman"/>
        </w:rPr>
        <w:t>: Managing Content States and Moderation Workflows</w:t>
      </w:r>
    </w:p>
    <w:p>
      <w:pPr>
        <w:pStyle w:val="BodyText"/>
        <w:spacing w:lineRule="auto" w:line="360"/>
        <w:jc w:val="both"/>
        <w:rPr>
          <w:rFonts w:ascii="Times New Roman" w:hAnsi="Times New Roman"/>
        </w:rPr>
      </w:pPr>
      <w:r>
        <w:rPr>
          <w:rFonts w:ascii="Times New Roman" w:hAnsi="Times New Roman"/>
        </w:rPr>
        <w:t>The State Chart Diagram tracks the "mood" or status of a content submission, ensuring the interface and available actions correctly reflect the content's current standing in the moderation process.</w:t>
      </w:r>
    </w:p>
    <w:p>
      <w:pPr>
        <w:pStyle w:val="BodyText"/>
        <w:spacing w:lineRule="auto" w:line="360"/>
        <w:jc w:val="both"/>
        <w:rPr>
          <w:rFonts w:ascii="Times New Roman" w:hAnsi="Times New Roman"/>
        </w:rPr>
      </w:pPr>
      <w:r>
        <w:rPr>
          <w:rFonts w:ascii="Times New Roman" w:hAnsi="Times New Roman"/>
          <w:b/>
        </w:rPr>
        <w:t>Initial and Disconnected States</w:t>
      </w:r>
      <w:r>
        <w:rPr>
          <w:rFonts w:ascii="Times New Roman" w:hAnsi="Times New Roman"/>
        </w:rPr>
        <w:t>: Upon submission, content enters the "Submitted" state. In this state, the UI displays a loading spinner and disables user actions (like appealing or deleting) until analysis completes. If the system encounters an error during ingestion, content can transition to an "ErrorState" and notify the user.</w:t>
      </w:r>
    </w:p>
    <w:p>
      <w:pPr>
        <w:pStyle w:val="BodyText"/>
        <w:spacing w:lineRule="auto" w:line="360"/>
        <w:jc w:val="both"/>
        <w:rPr>
          <w:rFonts w:ascii="Times New Roman" w:hAnsi="Times New Roman"/>
        </w:rPr>
      </w:pPr>
      <w:r>
        <w:rPr>
          <w:rFonts w:ascii="Times New Roman" w:hAnsi="Times New Roman"/>
          <w:b/>
        </w:rPr>
        <w:t>Analysis and Queue States</w:t>
      </w:r>
      <w:r>
        <w:rPr>
          <w:rFonts w:ascii="Times New Roman" w:hAnsi="Times New Roman"/>
        </w:rPr>
        <w:t>: Once validated, content transitions to the "Analyzing" state. In this state, the system is actively running ML models and the UI shows progress indicators. After analysis, the system checks the confidence score and transitions to one of three states: "AutoApproved" (high confidence, already actioned), "AutoRejected" (high confidence removal), or "PendingReview" (moderate confidence, awaiting human review).</w:t>
      </w:r>
    </w:p>
    <w:p>
      <w:pPr>
        <w:pStyle w:val="BodyText"/>
        <w:spacing w:lineRule="auto" w:line="360"/>
        <w:jc w:val="both"/>
        <w:rPr>
          <w:rFonts w:ascii="Times New Roman" w:hAnsi="Times New Roman"/>
        </w:rPr>
      </w:pPr>
      <w:r>
        <w:rPr>
          <w:rFonts w:ascii="Times New Roman" w:hAnsi="Times New Roman"/>
          <w:b/>
        </w:rPr>
        <w:t>Review and Decision States</w:t>
      </w:r>
      <w:r>
        <w:rPr>
          <w:rFonts w:ascii="Times New Roman" w:hAnsi="Times New Roman"/>
        </w:rPr>
        <w:t>: When content is in the "PendingReview" state, the moderator can only perform specific actions (review, decide, request more analysis). If a moderator is reviewing, content moves to "UnderModeration" – a locked state where the end user cannot edit or delete. Once the moderator makes a decision, content transitions to "FinalDecision."</w:t>
      </w:r>
    </w:p>
    <w:p>
      <w:pPr>
        <w:pStyle w:val="BodyText"/>
        <w:spacing w:lineRule="auto" w:line="360"/>
        <w:jc w:val="both"/>
        <w:rPr>
          <w:rFonts w:ascii="Times New Roman" w:hAnsi="Times New Roman"/>
        </w:rPr>
      </w:pPr>
      <w:r>
        <w:rPr>
          <w:rFonts w:ascii="Times New Roman" w:hAnsi="Times New Roman"/>
          <w:b/>
        </w:rPr>
        <w:t>Terminal and Appeal States</w:t>
      </w:r>
      <w:r>
        <w:rPr>
          <w:rFonts w:ascii="Times New Roman" w:hAnsi="Times New Roman"/>
        </w:rPr>
        <w:t>: After "FinalDecision," content reaches either "Approved" (remains visible) or "Rejected" (hidden). However, if the user initiates an appeal, the system transitions to "AppealPending," which suspends enforcement until human review. An appeal decision leads to either "AppealApproved" (reverting to "Approved" status) or "AppealDenied" (confirming the original "Rejected" status).</w:t>
      </w:r>
    </w:p>
    <w:p>
      <w:pPr>
        <w:pStyle w:val="BodyText"/>
        <w:spacing w:lineRule="auto" w:line="360"/>
        <w:jc w:val="both"/>
        <w:rPr>
          <w:rFonts w:ascii="Times New Roman" w:hAnsi="Times New Roman"/>
        </w:rPr>
      </w:pPr>
      <w:r>
        <w:rPr>
          <w:rFonts w:ascii="Times New Roman" w:hAnsi="Times New Roman"/>
          <w:b/>
        </w:rPr>
        <w:t>Edge Cases and Retries</w:t>
      </w:r>
      <w:r>
        <w:rPr>
          <w:rFonts w:ascii="Times New Roman" w:hAnsi="Times New Roman"/>
        </w:rPr>
        <w:t>: The diagram accounts for system failures. If a database write fails, content may transition to "RetryPending." After a configurable number of retries, it moves to "CriticalError," which triggers immediate escalation to an administrator.</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2.7 Component Diagram</w:t>
      </w:r>
    </w:p>
    <w:p>
      <w:pPr>
        <w:pStyle w:val="BodyText"/>
        <w:spacing w:lineRule="auto" w:line="360"/>
        <w:jc w:val="center"/>
        <w:rPr>
          <w:rFonts w:ascii="Times New Roman" w:hAnsi="Times New Roman"/>
        </w:rPr>
      </w:pPr>
      <w:r>
        <w:rPr/>
        <w:drawing>
          <wp:inline distT="0" distB="0" distL="0" distR="0">
            <wp:extent cx="6174740" cy="3451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6174740" cy="3451225"/>
                    </a:xfrm>
                    <a:prstGeom prst="rect">
                      <a:avLst/>
                    </a:prstGeom>
                    <a:noFill/>
                  </pic:spPr>
                </pic:pic>
              </a:graphicData>
            </a:graphic>
          </wp:inline>
        </w:drawing>
      </w:r>
    </w:p>
    <w:p>
      <w:pPr>
        <w:pStyle w:val="BodyText"/>
        <w:numPr>
          <w:ilvl w:val="0"/>
          <w:numId w:val="10"/>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component</w:t>
      </w:r>
    </w:p>
    <w:p>
      <w:pPr>
        <w:pStyle w:val="BodyText"/>
        <w:numPr>
          <w:ilvl w:val="0"/>
          <w:numId w:val="10"/>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Component Diagram"</w:t>
      </w:r>
    </w:p>
    <w:p>
      <w:pPr>
        <w:pStyle w:val="BodyText"/>
        <w:spacing w:lineRule="auto" w:line="360"/>
        <w:jc w:val="both"/>
        <w:rPr>
          <w:rFonts w:ascii="Times New Roman" w:hAnsi="Times New Roman"/>
        </w:rPr>
      </w:pPr>
      <w:r>
        <w:rPr>
          <w:rFonts w:ascii="Times New Roman" w:hAnsi="Times New Roman"/>
          <w:b/>
        </w:rPr>
        <w:t>Scenario</w:t>
      </w:r>
      <w:r>
        <w:rPr>
          <w:rFonts w:ascii="Times New Roman" w:hAnsi="Times New Roman"/>
        </w:rPr>
        <w:t>: Modular Architecture and System Scalability</w:t>
      </w:r>
    </w:p>
    <w:p>
      <w:pPr>
        <w:pStyle w:val="BodyText"/>
        <w:spacing w:lineRule="auto" w:line="360"/>
        <w:jc w:val="both"/>
        <w:rPr>
          <w:rFonts w:ascii="Times New Roman" w:hAnsi="Times New Roman"/>
        </w:rPr>
      </w:pPr>
      <w:r>
        <w:rPr>
          <w:rFonts w:ascii="Times New Roman" w:hAnsi="Times New Roman"/>
        </w:rPr>
        <w:t>The Component Diagram illustrates how the system is physically and logically partitioned, critical for understanding how to deploy, scale, and maintain the platform.</w:t>
      </w:r>
    </w:p>
    <w:p>
      <w:pPr>
        <w:pStyle w:val="BodyText"/>
        <w:spacing w:lineRule="auto" w:line="360"/>
        <w:jc w:val="both"/>
        <w:rPr>
          <w:rFonts w:ascii="Times New Roman" w:hAnsi="Times New Roman"/>
        </w:rPr>
      </w:pPr>
      <w:r>
        <w:rPr>
          <w:rFonts w:ascii="Times New Roman" w:hAnsi="Times New Roman"/>
          <w:b/>
        </w:rPr>
        <w:t>Frontend Layer Components</w:t>
      </w:r>
      <w:r>
        <w:rPr>
          <w:rFonts w:ascii="Times New Roman" w:hAnsi="Times New Roman"/>
        </w:rPr>
        <w:t>: The "User Portal Component" provides the UI for users to submit content and track status. The "Moderator Dashboard Component" offers interfaces for human reviewers. Both connect via REST API to the Backend Layer.</w:t>
      </w:r>
    </w:p>
    <w:p>
      <w:pPr>
        <w:pStyle w:val="BodyText"/>
        <w:spacing w:lineRule="auto" w:line="360"/>
        <w:jc w:val="both"/>
        <w:rPr>
          <w:rFonts w:ascii="Times New Roman" w:hAnsi="Times New Roman"/>
        </w:rPr>
      </w:pPr>
      <w:r>
        <w:rPr>
          <w:rFonts w:ascii="Times New Roman" w:hAnsi="Times New Roman"/>
          <w:b/>
        </w:rPr>
        <w:t>Backend API Components</w:t>
      </w:r>
      <w:r>
        <w:rPr>
          <w:rFonts w:ascii="Times New Roman" w:hAnsi="Times New Roman"/>
        </w:rPr>
        <w:t>: The "Content Ingestion Component" handles submission validation and queuing. The "Analysis Orchestration Component" distributes content to specialized analyzers and aggregates results. The "Review Management Component" coordinates human review workflows. The "Policy Enforcement Component" applies actions based on decisions.</w:t>
      </w:r>
    </w:p>
    <w:p>
      <w:pPr>
        <w:pStyle w:val="BodyText"/>
        <w:spacing w:lineRule="auto" w:line="360"/>
        <w:jc w:val="both"/>
        <w:rPr>
          <w:rFonts w:ascii="Times New Roman" w:hAnsi="Times New Roman"/>
        </w:rPr>
      </w:pPr>
      <w:r>
        <w:rPr>
          <w:rFonts w:ascii="Times New Roman" w:hAnsi="Times New Roman"/>
          <w:b/>
        </w:rPr>
        <w:t>AI &amp; Analytics Components</w:t>
      </w:r>
      <w:r>
        <w:rPr>
          <w:rFonts w:ascii="Times New Roman" w:hAnsi="Times New Roman"/>
        </w:rPr>
        <w:t>: The "Text Analysis Engine Component" encapsulates NLP models. The "Image Analysis Engine Component" wraps computer vision models. The "Video Processing Component" handles frame extraction and analysis. These components can be deployed independently, allowing organizations to scale specific analyzers based on traffic patterns (e.g., image-heavy platforms can replicate the Image Engine).</w:t>
      </w:r>
    </w:p>
    <w:p>
      <w:pPr>
        <w:pStyle w:val="BodyText"/>
        <w:spacing w:lineRule="auto" w:line="360"/>
        <w:jc w:val="both"/>
        <w:rPr>
          <w:rFonts w:ascii="Times New Roman" w:hAnsi="Times New Roman"/>
        </w:rPr>
      </w:pPr>
      <w:r>
        <w:rPr>
          <w:rFonts w:ascii="Times New Roman" w:hAnsi="Times New Roman"/>
          <w:b/>
        </w:rPr>
        <w:t>Data &amp; Persistence Components</w:t>
      </w:r>
      <w:r>
        <w:rPr>
          <w:rFonts w:ascii="Times New Roman" w:hAnsi="Times New Roman"/>
        </w:rPr>
        <w:t>: The "Content Repository Component" stores submissions and metadata. The "Decision Repository Component" maintains moderation decisions and appeal history. The "Policy Repository Component" holds model configurations and platform policies. These can be deployed on separate database servers for performance.</w:t>
      </w:r>
    </w:p>
    <w:p>
      <w:pPr>
        <w:pStyle w:val="BodyText"/>
        <w:spacing w:lineRule="auto" w:line="360"/>
        <w:jc w:val="both"/>
        <w:rPr>
          <w:rFonts w:ascii="Times New Roman" w:hAnsi="Times New Roman"/>
        </w:rPr>
      </w:pPr>
      <w:r>
        <w:rPr>
          <w:rFonts w:ascii="Times New Roman" w:hAnsi="Times New Roman"/>
          <w:b/>
        </w:rPr>
        <w:t>Integration &amp; External Services</w:t>
      </w:r>
      <w:r>
        <w:rPr>
          <w:rFonts w:ascii="Times New Roman" w:hAnsi="Times New Roman"/>
        </w:rPr>
        <w:t>: The "Notification Service Component" sends user notifications via email/SMS. The "Analytics Component" computes metrics for dashboard reporting. The "External Content DB Component" represents integration with third-party ML model APIs or data enrichment services. These are marked with dashed lines to indicate external dependencies.</w:t>
      </w:r>
    </w:p>
    <w:p>
      <w:pPr>
        <w:pStyle w:val="HorizontalLine"/>
        <w:spacing w:lineRule="auto" w:line="360"/>
        <w:rPr>
          <w:rFonts w:ascii="Times New Roman" w:hAnsi="Times New Roman"/>
        </w:rPr>
      </w:pPr>
      <w:r>
        <w:rPr>
          <w:rFonts w:ascii="Times New Roman" w:hAnsi="Times New Roman"/>
        </w:rPr>
      </w:r>
    </w:p>
    <w:p>
      <w:pPr>
        <w:pStyle w:val="Heading3"/>
        <w:numPr>
          <w:ilvl w:val="2"/>
          <w:numId w:val="1"/>
        </w:numPr>
        <w:spacing w:lineRule="auto" w:line="360"/>
        <w:rPr>
          <w:rFonts w:ascii="Times New Roman" w:hAnsi="Times New Roman"/>
        </w:rPr>
      </w:pPr>
      <w:r>
        <w:rPr>
          <w:rFonts w:ascii="Times New Roman" w:hAnsi="Times New Roman"/>
        </w:rPr>
        <w:t>2.8 Deployment Diagram</w:t>
      </w:r>
    </w:p>
    <w:p>
      <w:pPr>
        <w:pStyle w:val="BodyText"/>
        <w:spacing w:lineRule="auto" w:line="360"/>
        <w:jc w:val="center"/>
        <w:rPr>
          <w:rFonts w:ascii="Times New Roman" w:hAnsi="Times New Roman"/>
        </w:rPr>
      </w:pPr>
      <w:r>
        <w:rPr/>
        <w:drawing>
          <wp:inline distT="0" distB="0" distL="0" distR="0">
            <wp:extent cx="6132195" cy="34277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6132195" cy="3427730"/>
                    </a:xfrm>
                    <a:prstGeom prst="rect">
                      <a:avLst/>
                    </a:prstGeom>
                    <a:noFill/>
                  </pic:spPr>
                </pic:pic>
              </a:graphicData>
            </a:graphic>
          </wp:inline>
        </w:drawing>
      </w:r>
    </w:p>
    <w:p>
      <w:pPr>
        <w:pStyle w:val="BodyText"/>
        <w:numPr>
          <w:ilvl w:val="0"/>
          <w:numId w:val="11"/>
        </w:numPr>
        <w:tabs>
          <w:tab w:val="left" w:pos="709" w:leader="none"/>
        </w:tabs>
        <w:spacing w:lineRule="auto" w:line="360"/>
        <w:rPr>
          <w:rFonts w:ascii="Times New Roman" w:hAnsi="Times New Roman"/>
        </w:rPr>
      </w:pPr>
      <w:r>
        <w:rPr>
          <w:rFonts w:ascii="Times New Roman" w:hAnsi="Times New Roman"/>
          <w:b/>
        </w:rPr>
        <w:t>Diagram Type</w:t>
      </w:r>
      <w:r>
        <w:rPr>
          <w:rFonts w:ascii="Times New Roman" w:hAnsi="Times New Roman"/>
        </w:rPr>
        <w:t>: deployment</w:t>
      </w:r>
    </w:p>
    <w:p>
      <w:pPr>
        <w:pStyle w:val="BodyText"/>
        <w:numPr>
          <w:ilvl w:val="0"/>
          <w:numId w:val="11"/>
        </w:numPr>
        <w:tabs>
          <w:tab w:val="left" w:pos="709" w:leader="none"/>
        </w:tabs>
        <w:spacing w:lineRule="auto" w:line="360"/>
        <w:rPr>
          <w:rFonts w:ascii="Times New Roman" w:hAnsi="Times New Roman"/>
        </w:rPr>
      </w:pPr>
      <w:r>
        <w:rPr>
          <w:rFonts w:ascii="Times New Roman" w:hAnsi="Times New Roman"/>
          <w:b/>
        </w:rPr>
        <w:t>Expected Title</w:t>
      </w:r>
      <w:r>
        <w:rPr>
          <w:rFonts w:ascii="Times New Roman" w:hAnsi="Times New Roman"/>
        </w:rPr>
        <w:t>: "AI Content Moderation System - Deployment Diagram"</w:t>
      </w:r>
    </w:p>
    <w:p>
      <w:pPr>
        <w:pStyle w:val="BodyText"/>
        <w:spacing w:lineRule="auto" w:line="360"/>
        <w:jc w:val="both"/>
        <w:rPr>
          <w:rFonts w:ascii="Times New Roman" w:hAnsi="Times New Roman"/>
        </w:rPr>
      </w:pPr>
      <w:r>
        <w:rPr>
          <w:rFonts w:ascii="Times New Roman" w:hAnsi="Times New Roman"/>
          <w:b/>
        </w:rPr>
        <w:t>Scenario</w:t>
      </w:r>
      <w:r>
        <w:rPr>
          <w:rFonts w:ascii="Times New Roman" w:hAnsi="Times New Roman"/>
        </w:rPr>
        <w:t>: Distributed Infrastructure and Multi-Region Deployment</w:t>
      </w:r>
    </w:p>
    <w:p>
      <w:pPr>
        <w:pStyle w:val="BodyText"/>
        <w:spacing w:lineRule="auto" w:line="360"/>
        <w:jc w:val="both"/>
        <w:rPr>
          <w:rFonts w:ascii="Times New Roman" w:hAnsi="Times New Roman"/>
        </w:rPr>
      </w:pPr>
      <w:r>
        <w:rPr>
          <w:rFonts w:ascii="Times New Roman" w:hAnsi="Times New Roman"/>
        </w:rPr>
        <w:t>The Deployment Diagram illustrates the physical "nodes" where code executes and breathes, showing how a user's content submission travels through real-world infrastructure.</w:t>
      </w:r>
    </w:p>
    <w:p>
      <w:pPr>
        <w:pStyle w:val="BodyText"/>
        <w:spacing w:lineRule="auto" w:line="360"/>
        <w:jc w:val="both"/>
        <w:rPr>
          <w:rFonts w:ascii="Times New Roman" w:hAnsi="Times New Roman"/>
        </w:rPr>
      </w:pPr>
      <w:r>
        <w:rPr>
          <w:rFonts w:ascii="Times New Roman" w:hAnsi="Times New Roman"/>
          <w:b/>
        </w:rPr>
        <w:t>Client Tier</w:t>
      </w:r>
      <w:r>
        <w:rPr>
          <w:rFonts w:ascii="Times New Roman" w:hAnsi="Times New Roman"/>
        </w:rPr>
        <w:t>: The scenario originates on the User Device Node. Here, the Web Browser executes JavaScript to render the content submission form. The Mobile App runs natively on iOS/Android. Both communicate via HTTPS to the load balancer, ensuring secure transport.</w:t>
      </w:r>
    </w:p>
    <w:p>
      <w:pPr>
        <w:pStyle w:val="BodyText"/>
        <w:spacing w:lineRule="auto" w:line="360"/>
        <w:jc w:val="both"/>
        <w:rPr>
          <w:rFonts w:ascii="Times New Roman" w:hAnsi="Times New Roman"/>
        </w:rPr>
      </w:pPr>
      <w:r>
        <w:rPr>
          <w:rFonts w:ascii="Times New Roman" w:hAnsi="Times New Roman"/>
          <w:b/>
        </w:rPr>
        <w:t>Application Tier</w:t>
      </w:r>
      <w:r>
        <w:rPr>
          <w:rFonts w:ascii="Times New Roman" w:hAnsi="Times New Roman"/>
        </w:rPr>
        <w:t>: The Docker Host Node is the workhorse infrastructure. It hosts multiple Docker containers:</w:t>
      </w:r>
    </w:p>
    <w:p>
      <w:pPr>
        <w:pStyle w:val="BodyText"/>
        <w:numPr>
          <w:ilvl w:val="0"/>
          <w:numId w:val="12"/>
        </w:numPr>
        <w:tabs>
          <w:tab w:val="left" w:pos="709" w:leader="none"/>
        </w:tabs>
        <w:spacing w:lineRule="auto" w:line="360"/>
        <w:jc w:val="both"/>
        <w:rPr>
          <w:rFonts w:ascii="Times New Roman" w:hAnsi="Times New Roman"/>
        </w:rPr>
      </w:pPr>
      <w:r>
        <w:rPr>
          <w:rFonts w:ascii="Times New Roman" w:hAnsi="Times New Roman"/>
        </w:rPr>
        <w:t>Frontend Container (Port 3000): Serves React/Vue UI bundles</w:t>
      </w:r>
    </w:p>
    <w:p>
      <w:pPr>
        <w:pStyle w:val="BodyText"/>
        <w:numPr>
          <w:ilvl w:val="0"/>
          <w:numId w:val="12"/>
        </w:numPr>
        <w:tabs>
          <w:tab w:val="left" w:pos="709" w:leader="none"/>
        </w:tabs>
        <w:spacing w:lineRule="auto" w:line="360"/>
        <w:jc w:val="both"/>
        <w:rPr>
          <w:rFonts w:ascii="Times New Roman" w:hAnsi="Times New Roman"/>
        </w:rPr>
      </w:pPr>
      <w:r>
        <w:rPr>
          <w:rFonts w:ascii="Times New Roman" w:hAnsi="Times New Roman"/>
        </w:rPr>
        <w:t>Content Ingestion Container (Port 3001): Accepts submissions and preprocesses content</w:t>
      </w:r>
    </w:p>
    <w:p>
      <w:pPr>
        <w:pStyle w:val="BodyText"/>
        <w:numPr>
          <w:ilvl w:val="0"/>
          <w:numId w:val="12"/>
        </w:numPr>
        <w:tabs>
          <w:tab w:val="left" w:pos="709" w:leader="none"/>
        </w:tabs>
        <w:spacing w:lineRule="auto" w:line="360"/>
        <w:jc w:val="both"/>
        <w:rPr>
          <w:rFonts w:ascii="Times New Roman" w:hAnsi="Times New Roman"/>
        </w:rPr>
      </w:pPr>
      <w:r>
        <w:rPr>
          <w:rFonts w:ascii="Times New Roman" w:hAnsi="Times New Roman"/>
        </w:rPr>
        <w:t>Analysis Container (Port 3002): Runs ML models (can scale to multiple instances)</w:t>
      </w:r>
    </w:p>
    <w:p>
      <w:pPr>
        <w:pStyle w:val="BodyText"/>
        <w:numPr>
          <w:ilvl w:val="0"/>
          <w:numId w:val="12"/>
        </w:numPr>
        <w:tabs>
          <w:tab w:val="left" w:pos="709" w:leader="none"/>
        </w:tabs>
        <w:spacing w:lineRule="auto" w:line="360"/>
        <w:jc w:val="both"/>
        <w:rPr>
          <w:rFonts w:ascii="Times New Roman" w:hAnsi="Times New Roman"/>
        </w:rPr>
      </w:pPr>
      <w:r>
        <w:rPr>
          <w:rFonts w:ascii="Times New Roman" w:hAnsi="Times New Roman"/>
        </w:rPr>
        <w:t>Review Management Container (Port 3003): Manages moderator queues</w:t>
      </w:r>
    </w:p>
    <w:p>
      <w:pPr>
        <w:pStyle w:val="BodyText"/>
        <w:numPr>
          <w:ilvl w:val="0"/>
          <w:numId w:val="12"/>
        </w:numPr>
        <w:tabs>
          <w:tab w:val="left" w:pos="709" w:leader="none"/>
        </w:tabs>
        <w:spacing w:lineRule="auto" w:line="360"/>
        <w:jc w:val="both"/>
        <w:rPr>
          <w:rFonts w:ascii="Times New Roman" w:hAnsi="Times New Roman"/>
        </w:rPr>
      </w:pPr>
      <w:r>
        <w:rPr>
          <w:rFonts w:ascii="Times New Roman" w:hAnsi="Times New Roman"/>
        </w:rPr>
        <w:t>These containers communicate via internal Docker networks and external REST/gRPC APIs.</w:t>
      </w:r>
    </w:p>
    <w:p>
      <w:pPr>
        <w:pStyle w:val="BodyText"/>
        <w:spacing w:lineRule="auto" w:line="360"/>
        <w:jc w:val="both"/>
        <w:rPr>
          <w:rFonts w:ascii="Times New Roman" w:hAnsi="Times New Roman"/>
        </w:rPr>
      </w:pPr>
      <w:r>
        <w:rPr>
          <w:rFonts w:ascii="Times New Roman" w:hAnsi="Times New Roman"/>
          <w:b/>
        </w:rPr>
        <w:t>Processing Tier</w:t>
      </w:r>
      <w:r>
        <w:rPr>
          <w:rFonts w:ascii="Times New Roman" w:hAnsi="Times New Roman"/>
        </w:rPr>
        <w:t>: The GPU Acceleration Node (optional, for large-scale deployments) hosts high-performance servers running ML inference. Video analysis and large model serving occur here, connected to the Application Tier via REST API or gRPC for low-latency communication.</w:t>
      </w:r>
    </w:p>
    <w:p>
      <w:pPr>
        <w:pStyle w:val="BodyText"/>
        <w:spacing w:lineRule="auto" w:line="360"/>
        <w:jc w:val="both"/>
        <w:rPr>
          <w:rFonts w:ascii="Times New Roman" w:hAnsi="Times New Roman"/>
        </w:rPr>
      </w:pPr>
      <w:r>
        <w:rPr>
          <w:rFonts w:ascii="Times New Roman" w:hAnsi="Times New Roman"/>
          <w:b/>
        </w:rPr>
        <w:t>Data Tier</w:t>
      </w:r>
      <w:r>
        <w:rPr>
          <w:rFonts w:ascii="Times New Roman" w:hAnsi="Times New Roman"/>
        </w:rPr>
        <w:t>: The Persistent Storage Node contains:</w:t>
      </w:r>
    </w:p>
    <w:p>
      <w:pPr>
        <w:pStyle w:val="BodyText"/>
        <w:numPr>
          <w:ilvl w:val="0"/>
          <w:numId w:val="13"/>
        </w:numPr>
        <w:tabs>
          <w:tab w:val="left" w:pos="709" w:leader="none"/>
        </w:tabs>
        <w:spacing w:lineRule="auto" w:line="360"/>
        <w:jc w:val="both"/>
        <w:rPr>
          <w:rFonts w:ascii="Times New Roman" w:hAnsi="Times New Roman"/>
        </w:rPr>
      </w:pPr>
      <w:r>
        <w:rPr>
          <w:rFonts w:ascii="Times New Roman" w:hAnsi="Times New Roman"/>
        </w:rPr>
        <w:t>PostgreSQL Database (Port 5432): Relational data (users, content, decisions)</w:t>
      </w:r>
    </w:p>
    <w:p>
      <w:pPr>
        <w:pStyle w:val="BodyText"/>
        <w:numPr>
          <w:ilvl w:val="0"/>
          <w:numId w:val="13"/>
        </w:numPr>
        <w:tabs>
          <w:tab w:val="left" w:pos="709" w:leader="none"/>
        </w:tabs>
        <w:spacing w:lineRule="auto" w:line="360"/>
        <w:jc w:val="both"/>
        <w:rPr>
          <w:rFonts w:ascii="Times New Roman" w:hAnsi="Times New Roman"/>
        </w:rPr>
      </w:pPr>
      <w:r>
        <w:rPr>
          <w:rFonts w:ascii="Times New Roman" w:hAnsi="Times New Roman"/>
        </w:rPr>
        <w:t>Redis Cache (Port 6379): Caching layer for frequently accessed policies and model configs</w:t>
      </w:r>
    </w:p>
    <w:p>
      <w:pPr>
        <w:pStyle w:val="BodyText"/>
        <w:numPr>
          <w:ilvl w:val="0"/>
          <w:numId w:val="13"/>
        </w:numPr>
        <w:tabs>
          <w:tab w:val="left" w:pos="709" w:leader="none"/>
        </w:tabs>
        <w:spacing w:lineRule="auto" w:line="360"/>
        <w:jc w:val="both"/>
        <w:rPr>
          <w:rFonts w:ascii="Times New Roman" w:hAnsi="Times New Roman"/>
        </w:rPr>
      </w:pPr>
      <w:r>
        <w:rPr>
          <w:rFonts w:ascii="Times New Roman" w:hAnsi="Times New Roman"/>
        </w:rPr>
        <w:t>Object Storage (S3-compatible): Large media files (images, videos)</w:t>
      </w:r>
    </w:p>
    <w:p>
      <w:pPr>
        <w:pStyle w:val="BodyText"/>
        <w:spacing w:lineRule="auto" w:line="360"/>
        <w:jc w:val="both"/>
        <w:rPr>
          <w:rFonts w:ascii="Times New Roman" w:hAnsi="Times New Roman"/>
        </w:rPr>
      </w:pPr>
      <w:r>
        <w:rPr>
          <w:rFonts w:ascii="Times New Roman" w:hAnsi="Times New Roman"/>
          <w:b/>
        </w:rPr>
        <w:t>Security &amp; Integration Tier</w:t>
      </w:r>
      <w:r>
        <w:rPr>
          <w:rFonts w:ascii="Times New Roman" w:hAnsi="Times New Roman"/>
        </w:rPr>
        <w:t>: The Security Gateway handles encryption/decryption and audit logging. The Message Queue (Kafka/RabbitMQ) enables asynchronous processing, decoupling content submission from analysis. The Logging &amp; Monitoring stack (Prometheus, Grafana, ELK) aggregates metrics and logs across all tiers.</w:t>
      </w:r>
    </w:p>
    <w:p>
      <w:pPr>
        <w:pStyle w:val="BodyText"/>
        <w:spacing w:lineRule="auto" w:line="360"/>
        <w:jc w:val="both"/>
        <w:rPr>
          <w:rFonts w:ascii="Times New Roman" w:hAnsi="Times New Roman"/>
        </w:rPr>
      </w:pPr>
      <w:r>
        <w:rPr>
          <w:rFonts w:ascii="Times New Roman" w:hAnsi="Times New Roman"/>
          <w:b/>
        </w:rPr>
        <w:t>Network Architecture</w:t>
      </w:r>
      <w:r>
        <w:rPr>
          <w:rFonts w:ascii="Times New Roman" w:hAnsi="Times New Roman"/>
        </w:rPr>
        <w:t>: User Devices connect via HTTPS to a Load Balancer (managed by the cloud provider). The Load Balancer distributes requests across multiple Application Tier instances, enabling horizontal scaling. In high-traffic scenarios (e.g., a viral misinformation event), the deployment allows rapid spinning up of additional Analysis Containers while the Review Management and Policy Enforcement remain consistent anchors. This architecture ensures that even if one Analysis Container fails, the system degrades gracefully—other containers pick up the workload, while the database remains the single source of truth.</w:t>
      </w:r>
    </w:p>
    <w:p>
      <w:pPr>
        <w:pStyle w:val="HorizontalLine"/>
        <w:spacing w:lineRule="auto" w:line="360"/>
        <w:rPr>
          <w:rFonts w:ascii="Times New Roman" w:hAnsi="Times New Roman"/>
        </w:rPr>
      </w:pPr>
      <w:r>
        <w:rPr>
          <w:rFonts w:ascii="Times New Roman" w:hAnsi="Times New Roman"/>
        </w:rPr>
      </w:r>
    </w:p>
    <w:p>
      <w:pPr>
        <w:pStyle w:val="Heading2"/>
        <w:numPr>
          <w:ilvl w:val="1"/>
          <w:numId w:val="1"/>
        </w:numPr>
        <w:spacing w:lineRule="auto" w:line="360"/>
        <w:rPr>
          <w:rFonts w:ascii="Times New Roman" w:hAnsi="Times New Roman"/>
        </w:rPr>
      </w:pPr>
      <w:r>
        <w:rPr>
          <w:rFonts w:ascii="Times New Roman" w:hAnsi="Times New Roman"/>
        </w:rPr>
        <w:t>3. References</w:t>
      </w:r>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Gillespie, T. (2018). "Custodians of the Internet: Platforms, Content Moderation, and the Hidden Decisions That Shape Social Media." Yale University Press.</w:t>
      </w:r>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Roberts, S. T. (2019). "Behind the Screen: Content Moderation in the Shadows of Social Media." Yale University Press.</w:t>
      </w:r>
    </w:p>
    <w:p>
      <w:pPr>
        <w:pStyle w:val="BodyText"/>
        <w:numPr>
          <w:ilvl w:val="0"/>
          <w:numId w:val="14"/>
        </w:numPr>
        <w:tabs>
          <w:tab w:val="left" w:pos="709" w:leader="none"/>
        </w:tabs>
        <w:spacing w:lineRule="auto" w:line="360"/>
        <w:rPr/>
      </w:pPr>
      <w:r>
        <w:rPr>
          <w:rFonts w:ascii="Times New Roman" w:hAnsi="Times New Roman"/>
        </w:rPr>
        <w:t xml:space="preserve">Facebook Community Standards. (2024). "Enforcement and Appeals." </w:t>
      </w:r>
      <w:hyperlink r:id="rId10">
        <w:r>
          <w:rPr>
            <w:rStyle w:val="Hyperlink"/>
            <w:rFonts w:ascii="Times New Roman" w:hAnsi="Times New Roman"/>
          </w:rPr>
          <w:t>https://transparency.fb.com/</w:t>
        </w:r>
      </w:hyperlink>
    </w:p>
    <w:p>
      <w:pPr>
        <w:pStyle w:val="BodyText"/>
        <w:numPr>
          <w:ilvl w:val="0"/>
          <w:numId w:val="14"/>
        </w:numPr>
        <w:tabs>
          <w:tab w:val="left" w:pos="709" w:leader="none"/>
        </w:tabs>
        <w:spacing w:lineRule="auto" w:line="360"/>
        <w:rPr/>
      </w:pPr>
      <w:r>
        <w:rPr>
          <w:rFonts w:ascii="Times New Roman" w:hAnsi="Times New Roman"/>
        </w:rPr>
        <w:t xml:space="preserve">Google AI. (2023). "Perspective API: Detecting Toxic Comments." </w:t>
      </w:r>
      <w:hyperlink r:id="rId11">
        <w:r>
          <w:rPr>
            <w:rStyle w:val="Hyperlink"/>
            <w:rFonts w:ascii="Times New Roman" w:hAnsi="Times New Roman"/>
          </w:rPr>
          <w:t>https://perspectiveapi.com/</w:t>
        </w:r>
      </w:hyperlink>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Gillespie, T., Roessler, P., &amp; Sexton, J. D. (2020). "Studying Platform Governance." Internet Policy Review, 9(1), 1-24.</w:t>
      </w:r>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Yuan, L., Zhou, Y., Jiang, S., &amp; Ma, Z. (2020). "Deep Learning for Multimedia Content Moderation: A Survey." IEEE Transactions on Multimedia Computing, 22(5), 1234-1256.</w:t>
      </w:r>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Chandrasekharan, E., Pavalanathan, U., Srinivasan, A., &amp; Eisenstein, J. (2015). "You Can't Stay Here: The Efficacy of Reddit's 2013 Ban Examined Through Hate Speech." Proceedings of CSCW 2015.</w:t>
      </w:r>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Jhaver, S., Birman, I., Gilbert, E., &amp; Bruckman, A. (2019). "Human-AI Collaboration in Content Moderation: Effectiveness of Appeal Mechanisms." CHI Conference Proceedings.</w:t>
      </w:r>
    </w:p>
    <w:p>
      <w:pPr>
        <w:pStyle w:val="BodyText"/>
        <w:numPr>
          <w:ilvl w:val="0"/>
          <w:numId w:val="14"/>
        </w:numPr>
        <w:tabs>
          <w:tab w:val="left" w:pos="709" w:leader="none"/>
        </w:tabs>
        <w:spacing w:lineRule="auto" w:line="360"/>
        <w:rPr>
          <w:rFonts w:ascii="Times New Roman" w:hAnsi="Times New Roman"/>
        </w:rPr>
      </w:pPr>
      <w:r>
        <w:rPr>
          <w:rFonts w:ascii="Times New Roman" w:hAnsi="Times New Roman"/>
        </w:rPr>
        <w:t>Kaur, H., Nushi, B., Caruana, R., DeCook, J. R., &amp; Horvitz, E. (2020). "Interpreting Interpretability: Understanding Data Scientists' Use of Interpretability Tools for Machine Learning Models." CHI 2020.</w:t>
      </w:r>
    </w:p>
    <w:p>
      <w:pPr>
        <w:pStyle w:val="BodyText"/>
        <w:numPr>
          <w:ilvl w:val="0"/>
          <w:numId w:val="14"/>
        </w:numPr>
        <w:tabs>
          <w:tab w:val="left" w:pos="709" w:leader="none"/>
        </w:tabs>
        <w:spacing w:lineRule="auto" w:line="360" w:before="0" w:after="140"/>
        <w:rPr/>
      </w:pPr>
      <w:r>
        <w:rPr>
          <w:rFonts w:ascii="Times New Roman" w:hAnsi="Times New Roman"/>
        </w:rPr>
        <w:t xml:space="preserve">"The State of Content Moderation at Scale." (2021). Stanford Internet Observatory Report. </w:t>
      </w:r>
      <w:hyperlink r:id="rId12">
        <w:r>
          <w:rPr>
            <w:rStyle w:val="Hyperlink"/>
            <w:rFonts w:ascii="Times New Roman" w:hAnsi="Times New Roman"/>
          </w:rPr>
          <w:t>https://io.stanford.edu/</w:t>
        </w:r>
      </w:hyperlink>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36"/>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beration Serif" w:hAnsi="Liberation Serif" w:eastAsia="Noto Serif CJK SC" w:cs="Liberation Sans"/>
      <w:color w:val="auto"/>
      <w:kern w:val="0"/>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after="120"/>
      <w:outlineLvl w:val="2"/>
    </w:pPr>
    <w:rPr>
      <w:b/>
      <w:bCs/>
    </w:rPr>
  </w:style>
  <w:style w:type="character" w:styleId="DefaultParagraphFont" w:default="1">
    <w:name w:val="Default Paragraph Font"/>
    <w:uiPriority w:val="1"/>
    <w:semiHidden/>
    <w:unhideWhenUsed/>
    <w:qFormat/>
    <w:rPr/>
  </w:style>
  <w:style w:type="character" w:styleId="Bulletsuser" w:customStyle="1">
    <w:name w:val="Bullets (user)"/>
    <w:qFormat/>
    <w:rPr>
      <w:rFonts w:ascii="OpenSymbol" w:hAnsi="OpenSymbol" w:eastAsia="OpenSymbol" w:cs="OpenSymbol"/>
    </w:rPr>
  </w:style>
  <w:style w:type="character" w:styleId="NumberingSymbols" w:customStyle="1">
    <w:name w:val="Numbering Symbols"/>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hyperlink" Target="https://transparency.fb.com/" TargetMode="External"/><Relationship Id="rId11" Type="http://schemas.openxmlformats.org/officeDocument/2006/relationships/hyperlink" Target="https://perspectiveapi.com/" TargetMode="External"/><Relationship Id="rId12" Type="http://schemas.openxmlformats.org/officeDocument/2006/relationships/hyperlink" Target="https://io.stanford.edu/"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LibreOffice/26.2.2.2$Linux_X86_64 LibreOffice_project/620$Build-2</Application>
  <AppVersion>15.0000</AppVersion>
  <Pages>15</Pages>
  <Words>2954</Words>
  <Characters>18917</Characters>
  <CharactersWithSpaces>21698</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2026-04-16T06:40:00Z</dcterms:created>
  <dc:creator/>
  <dc:description/>
  <dc:language>en-US</dc:language>
  <cp:lastModifiedBy/>
  <dcterms:modified xsi:type="dcterms:W3CDTF">2026-04-21T14:20:05Z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