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sz w:val="48"/>
          <w:szCs w:val="48"/>
        </w:rPr>
        <w:t>CivicFlow: A Retrieval-Augmented Multimodal Civic Issue Triage System for Urban Governance</w:t>
      </w:r>
    </w:p>
    <w:p>
      <w:pPr>
        <w:pStyle w:val="Normal"/>
        <w:spacing w:before="30" w:after="15"/>
        <w:jc w:val="center"/>
        <w:rPr>
          <w:sz w:val="24"/>
          <w:szCs w:val="24"/>
        </w:rPr>
      </w:pPr>
      <w:r>
        <w:rPr>
          <w:sz w:val="24"/>
          <w:szCs w:val="24"/>
        </w:rPr>
        <w:t>Vaidehi M</w:t>
      </w:r>
    </w:p>
    <w:p>
      <w:pPr>
        <w:pStyle w:val="Normal"/>
        <w:spacing w:before="0" w:after="15"/>
        <w:jc w:val="center"/>
        <w:rPr/>
      </w:pPr>
      <w:r>
        <w:rPr>
          <w:i/>
          <w:iCs/>
          <w:sz w:val="18"/>
          <w:szCs w:val="18"/>
        </w:rPr>
        <w:t>Dept. of Information Science and Engineering</w:t>
      </w:r>
    </w:p>
    <w:p>
      <w:pPr>
        <w:pStyle w:val="Normal"/>
        <w:spacing w:before="0" w:after="60"/>
        <w:jc w:val="center"/>
        <w:rPr/>
      </w:pPr>
      <w:r>
        <w:rPr>
          <w:i/>
          <w:iCs/>
          <w:sz w:val="18"/>
          <w:szCs w:val="18"/>
        </w:rPr>
        <w:t>Dayananda Sagar College of Engineering, Bengaluru, India</w:t>
      </w:r>
    </w:p>
    <w:p>
      <w:pPr>
        <w:pStyle w:val="Normal"/>
        <w:tabs>
          <w:tab w:val="clear" w:pos="720"/>
          <w:tab w:val="left" w:pos="5318" w:leader="none"/>
          <w:tab w:val="left" w:pos="5352" w:leader="none"/>
        </w:tabs>
        <w:spacing w:lineRule="auto" w:line="290" w:before="55" w:after="0"/>
        <w:ind w:end="1101"/>
        <w:jc w:val="center"/>
        <w:rPr>
          <w:iCs/>
        </w:rPr>
      </w:pPr>
      <w:r>
        <w:rPr>
          <w:iCs/>
        </w:rPr>
        <w:t xml:space="preserve">              </w:t>
      </w:r>
      <w:r>
        <w:rPr>
          <w:iCs/>
        </w:rPr>
        <w:t>vaidehim-ise@dayanandasagar.edu</w:t>
      </w:r>
    </w:p>
    <w:p>
      <w:pPr>
        <w:pStyle w:val="Normal"/>
        <w:rPr/>
      </w:pPr>
      <w:r>
        <w:rPr/>
      </w:r>
    </w:p>
    <w:p>
      <w:pPr>
        <w:sectPr>
          <w:type w:val="nextPage"/>
          <w:pgSz w:w="11906" w:h="16838"/>
          <w:pgMar w:left="893" w:right="893" w:gutter="0" w:header="0" w:top="1080" w:footer="0" w:bottom="1440"/>
          <w:pgNumType w:fmt="decimal"/>
          <w:formProt w:val="false"/>
          <w:textDirection w:val="lrTb"/>
          <w:docGrid w:type="default" w:linePitch="600" w:charSpace="40960"/>
        </w:sectPr>
      </w:pPr>
    </w:p>
    <w:p>
      <w:pPr>
        <w:pStyle w:val="Normal"/>
        <w:spacing w:before="60" w:after="20"/>
        <w:jc w:val="center"/>
        <w:rPr/>
      </w:pPr>
      <w:r>
        <w:rPr>
          <w:sz w:val="22"/>
          <w:szCs w:val="22"/>
        </w:rPr>
        <w:t>Bhoomika K Nayak</w:t>
      </w:r>
    </w:p>
    <w:p>
      <w:pPr>
        <w:pStyle w:val="Normal"/>
        <w:spacing w:before="0" w:after="15"/>
        <w:jc w:val="center"/>
        <w:rPr/>
      </w:pPr>
      <w:r>
        <w:rPr>
          <w:i/>
          <w:iCs/>
          <w:sz w:val="18"/>
          <w:szCs w:val="18"/>
        </w:rPr>
        <w:t>Dept. of Information Science and Engineering</w:t>
      </w:r>
    </w:p>
    <w:p>
      <w:pPr>
        <w:pStyle w:val="Normal"/>
        <w:spacing w:before="0" w:after="15"/>
        <w:jc w:val="center"/>
        <w:rPr/>
      </w:pPr>
      <w:r>
        <w:rPr>
          <w:i/>
          <w:iCs/>
          <w:sz w:val="18"/>
          <w:szCs w:val="18"/>
        </w:rPr>
        <w:t>Dayananda Sagar College of Engineering</w:t>
      </w:r>
    </w:p>
    <w:p>
      <w:pPr>
        <w:pStyle w:val="Normal"/>
        <w:spacing w:before="0" w:after="50"/>
        <w:jc w:val="center"/>
        <w:rPr>
          <w:sz w:val="18"/>
          <w:szCs w:val="18"/>
        </w:rPr>
      </w:pPr>
      <w:hyperlink r:id="rId2">
        <w:r>
          <w:rPr>
            <w:rStyle w:val="Hyperlink"/>
            <w:sz w:val="18"/>
            <w:szCs w:val="18"/>
          </w:rPr>
          <w:t>1ds23is031@dsce.edu.in</w:t>
        </w:r>
      </w:hyperlink>
    </w:p>
    <w:p>
      <w:pPr>
        <w:pStyle w:val="Normal"/>
        <w:spacing w:before="0" w:after="50"/>
        <w:jc w:val="center"/>
        <w:rPr/>
      </w:pPr>
      <w:r>
        <w:rPr/>
      </w:r>
    </w:p>
    <w:p>
      <w:pPr>
        <w:pStyle w:val="Normal"/>
        <w:spacing w:before="60" w:after="20"/>
        <w:jc w:val="center"/>
        <w:rPr/>
      </w:pPr>
      <w:r>
        <w:rPr>
          <w:sz w:val="22"/>
          <w:szCs w:val="22"/>
        </w:rPr>
        <w:t>Chandra Shekar G V</w:t>
      </w:r>
    </w:p>
    <w:p>
      <w:pPr>
        <w:pStyle w:val="Normal"/>
        <w:spacing w:before="0" w:after="15"/>
        <w:jc w:val="center"/>
        <w:rPr/>
      </w:pPr>
      <w:r>
        <w:rPr>
          <w:i/>
          <w:iCs/>
          <w:sz w:val="18"/>
          <w:szCs w:val="18"/>
        </w:rPr>
        <w:t>Dept. of Information Science and Engineering</w:t>
      </w:r>
    </w:p>
    <w:p>
      <w:pPr>
        <w:pStyle w:val="Normal"/>
        <w:spacing w:before="0" w:after="15"/>
        <w:jc w:val="center"/>
        <w:rPr/>
      </w:pPr>
      <w:r>
        <w:rPr>
          <w:i/>
          <w:iCs/>
          <w:sz w:val="18"/>
          <w:szCs w:val="18"/>
        </w:rPr>
        <w:t>Dayananda Sagar College of Engineering</w:t>
      </w:r>
    </w:p>
    <w:p>
      <w:pPr>
        <w:pStyle w:val="Normal"/>
        <w:spacing w:before="0" w:after="50"/>
        <w:jc w:val="center"/>
        <w:rPr>
          <w:sz w:val="18"/>
          <w:szCs w:val="18"/>
        </w:rPr>
      </w:pPr>
      <w:hyperlink r:id="rId3">
        <w:r>
          <w:rPr>
            <w:rStyle w:val="Hyperlink"/>
            <w:sz w:val="18"/>
            <w:szCs w:val="18"/>
          </w:rPr>
          <w:t>1ds23is035@dsce.edu.in</w:t>
        </w:r>
      </w:hyperlink>
    </w:p>
    <w:p>
      <w:pPr>
        <w:pStyle w:val="Normal"/>
        <w:spacing w:before="0" w:after="0"/>
        <w:jc w:val="center"/>
        <w:rPr/>
      </w:pPr>
      <w:r>
        <w:br w:type="column"/>
      </w:r>
      <w:r>
        <w:rPr>
          <w:sz w:val="22"/>
          <w:szCs w:val="22"/>
        </w:rPr>
        <w:t>Chetan S</w:t>
      </w:r>
    </w:p>
    <w:p>
      <w:pPr>
        <w:pStyle w:val="Normal"/>
        <w:spacing w:before="0" w:after="15"/>
        <w:jc w:val="center"/>
        <w:rPr/>
      </w:pPr>
      <w:r>
        <w:rPr>
          <w:i/>
          <w:iCs/>
          <w:sz w:val="18"/>
          <w:szCs w:val="18"/>
        </w:rPr>
        <w:t>Dept. of Information Science and Engineering</w:t>
      </w:r>
    </w:p>
    <w:p>
      <w:pPr>
        <w:pStyle w:val="Normal"/>
        <w:spacing w:before="0" w:after="15"/>
        <w:jc w:val="center"/>
        <w:rPr/>
      </w:pPr>
      <w:r>
        <w:rPr>
          <w:i/>
          <w:iCs/>
          <w:sz w:val="18"/>
          <w:szCs w:val="18"/>
        </w:rPr>
        <w:t>Dayananda Sagar College of Engineering</w:t>
      </w:r>
    </w:p>
    <w:p>
      <w:pPr>
        <w:pStyle w:val="Normal"/>
        <w:spacing w:before="0" w:after="50"/>
        <w:jc w:val="center"/>
        <w:rPr>
          <w:sz w:val="18"/>
          <w:szCs w:val="18"/>
        </w:rPr>
      </w:pPr>
      <w:hyperlink r:id="rId4">
        <w:r>
          <w:rPr>
            <w:rStyle w:val="Hyperlink"/>
            <w:sz w:val="18"/>
            <w:szCs w:val="18"/>
          </w:rPr>
          <w:t>1ds23is037@dsce.edu.in</w:t>
        </w:r>
      </w:hyperlink>
    </w:p>
    <w:p>
      <w:pPr>
        <w:pStyle w:val="Normal"/>
        <w:spacing w:before="0" w:after="50"/>
        <w:jc w:val="center"/>
        <w:rPr/>
      </w:pPr>
      <w:r>
        <w:rPr/>
      </w:r>
    </w:p>
    <w:p>
      <w:pPr>
        <w:pStyle w:val="Normal"/>
        <w:spacing w:before="60" w:after="20"/>
        <w:jc w:val="center"/>
        <w:rPr/>
      </w:pPr>
      <w:r>
        <w:rPr>
          <w:sz w:val="22"/>
          <w:szCs w:val="22"/>
        </w:rPr>
        <w:t>Dikshith M</w:t>
      </w:r>
    </w:p>
    <w:p>
      <w:pPr>
        <w:pStyle w:val="Normal"/>
        <w:spacing w:before="0" w:after="15"/>
        <w:jc w:val="center"/>
        <w:rPr/>
      </w:pPr>
      <w:r>
        <w:rPr>
          <w:i/>
          <w:iCs/>
          <w:sz w:val="18"/>
          <w:szCs w:val="18"/>
        </w:rPr>
        <w:t>Dept. of Information Science and Engineering</w:t>
      </w:r>
    </w:p>
    <w:p>
      <w:pPr>
        <w:pStyle w:val="Normal"/>
        <w:spacing w:before="0" w:after="15"/>
        <w:jc w:val="center"/>
        <w:rPr/>
      </w:pPr>
      <w:r>
        <w:rPr>
          <w:i/>
          <w:iCs/>
          <w:sz w:val="18"/>
          <w:szCs w:val="18"/>
        </w:rPr>
        <w:t>Dayananda Sagar College of Engineering</w:t>
      </w:r>
    </w:p>
    <w:p>
      <w:pPr>
        <w:pStyle w:val="Normal"/>
        <w:spacing w:before="0" w:after="50"/>
        <w:jc w:val="center"/>
        <w:rPr>
          <w:sz w:val="18"/>
          <w:szCs w:val="18"/>
        </w:rPr>
      </w:pPr>
      <w:hyperlink r:id="rId5">
        <w:r>
          <w:rPr>
            <w:rStyle w:val="Hyperlink"/>
            <w:sz w:val="18"/>
            <w:szCs w:val="18"/>
          </w:rPr>
          <w:t>1ds23is044@dsce.edu.in</w:t>
        </w:r>
      </w:hyperlink>
    </w:p>
    <w:p>
      <w:pPr>
        <w:pStyle w:val="Normal"/>
        <w:spacing w:before="0" w:after="50"/>
        <w:jc w:val="center"/>
        <w:rPr>
          <w:sz w:val="18"/>
          <w:szCs w:val="18"/>
        </w:rPr>
      </w:pPr>
      <w:r>
        <w:rPr>
          <w:sz w:val="18"/>
          <w:szCs w:val="18"/>
        </w:rPr>
      </w:r>
    </w:p>
    <w:p>
      <w:pPr>
        <w:sectPr>
          <w:type w:val="continuous"/>
          <w:pgSz w:w="11906" w:h="16838"/>
          <w:pgMar w:left="893" w:right="893" w:gutter="0" w:header="0" w:top="1080" w:footer="0" w:bottom="1440"/>
          <w:cols w:num="2" w:space="360" w:equalWidth="true" w:sep="false"/>
          <w:formProt w:val="false"/>
          <w:textDirection w:val="lrTb"/>
          <w:docGrid w:type="default" w:linePitch="600" w:charSpace="40960"/>
        </w:sectPr>
      </w:pPr>
    </w:p>
    <w:p>
      <w:pPr>
        <w:pStyle w:val="Normal"/>
        <w:spacing w:before="80" w:after="60"/>
        <w:ind w:firstLine="272"/>
        <w:jc w:val="both"/>
        <w:rPr>
          <w:b/>
          <w:bCs/>
        </w:rPr>
      </w:pPr>
      <w:r>
        <w:rPr>
          <w:b/>
          <w:bCs/>
          <w:i/>
          <w:iCs/>
          <w:sz w:val="18"/>
          <w:szCs w:val="18"/>
        </w:rPr>
        <w:t>Abstract</w:t>
      </w:r>
      <w:r>
        <w:rPr>
          <w:b/>
          <w:bCs/>
          <w:sz w:val="18"/>
          <w:szCs w:val="18"/>
        </w:rPr>
        <w:t>—</w:t>
      </w:r>
      <w:r>
        <w:rPr>
          <w:b/>
          <w:bCs/>
          <w:sz w:val="18"/>
          <w:szCs w:val="18"/>
        </w:rPr>
        <w:t>Municipal governments in large Indian cities field upwards of 10,000 civic complaints a month, covering road damage, water supply failures, electricity outages, sanitation problems, and public safety issues. The systems currently in use depend on manual classification that cannot process mixed input formats such as text, voice, and images. Complaints get routed to the wrong departments at a nontrivial rate, and city administrators have no mechanism for real-time tracking or data-driven governance.CivicFlow is a multimodal triage architecture that classifies and routes these complaints automatically using a retrieval-augmented generation pipeline. It combines Automatic Speech Recognition via OpenAI Whisper [4], vision-language captioning via CLIP ViT-B/32 [3], dense semantic embeddings via Sentence-BERT [5], and Llama-3 8B Instruct [14] backed by RAG over a municipal policy vector store. We tested the system on 1,247 labeled Bangalore civic complaints. The results show a macro-averaged F1 score of 87.3%, P95 end-to-end latency of 2.41 s, and duplicate detection precision of 91.2%. No prior published work, to our knowledge, has benchmarked a pipeline of this kind on real Bangalore municipal complaint data.</w:t>
      </w:r>
    </w:p>
    <w:p>
      <w:pPr>
        <w:pStyle w:val="Normal"/>
        <w:spacing w:before="80" w:after="60"/>
        <w:ind w:firstLine="272"/>
        <w:jc w:val="both"/>
        <w:rPr>
          <w:b/>
          <w:bCs/>
        </w:rPr>
      </w:pPr>
      <w:r>
        <w:rPr>
          <w:b/>
          <w:bCs/>
          <w:sz w:val="18"/>
          <w:szCs w:val="18"/>
        </w:rPr>
      </w:r>
    </w:p>
    <w:p>
      <w:pPr>
        <w:pStyle w:val="Normal"/>
        <w:spacing w:before="30" w:after="80"/>
        <w:ind w:firstLine="274"/>
        <w:jc w:val="both"/>
        <w:rPr>
          <w:b/>
          <w:bCs/>
        </w:rPr>
      </w:pPr>
      <w:r>
        <w:rPr>
          <w:b/>
          <w:bCs/>
          <w:i/>
          <w:iCs/>
          <w:sz w:val="18"/>
          <w:szCs w:val="18"/>
        </w:rPr>
        <w:t>Keywords: Civic complaints, Retrieval-Augmented Generation, Multimodal AI, Named Entity Recognition, Geo-routing, Large Language Models, Smart City.</w:t>
      </w:r>
    </w:p>
    <w:p>
      <w:pPr>
        <w:pStyle w:val="Normal"/>
        <w:pBdr>
          <w:bottom w:val="single" w:sz="6" w:space="1" w:color="000000"/>
        </w:pBdr>
        <w:spacing w:before="60" w:after="60"/>
        <w:rPr/>
      </w:pPr>
      <w:r>
        <w:rPr/>
      </w:r>
    </w:p>
    <w:p>
      <w:pPr>
        <w:pStyle w:val="Normal"/>
        <w:spacing w:lineRule="auto" w:line="276" w:before="140" w:after="70"/>
        <w:jc w:val="center"/>
        <w:rPr>
          <w:b/>
          <w:bCs/>
        </w:rPr>
      </w:pPr>
      <w:r>
        <w:rPr>
          <w:b/>
          <w:bCs/>
          <w:caps/>
        </w:rPr>
        <w:t>I. Introduction</w:t>
      </w:r>
    </w:p>
    <w:p>
      <w:pPr>
        <w:pStyle w:val="BodyText"/>
        <w:spacing w:lineRule="auto" w:line="264" w:before="0" w:after="70"/>
        <w:ind w:firstLine="432"/>
        <w:jc w:val="both"/>
        <w:rPr/>
      </w:pPr>
      <w:r>
        <w:rPr/>
        <w:t>Municipal governments across India process tens of thousands of citizen-generated complaints monthly, through channels ranging from formal e-governance portals to informal platforms such as WhatsApp and X (formerly Twitter). The variety of input types, voice notes, georeferenced photographs, and typed text, makes manual sorting unworkable at Bangalore's scale. When a pothole report reaches the water board instead of roads maintenance, the Bruhat Bengaluru Mahanagara Palike (BBMP) absorbs an average resolution delay of 4.7 extra working days, a figure documented by the Karnataka Urban Infrastructure Development Finance Corporation [7].</w:t>
      </w:r>
    </w:p>
    <w:p>
      <w:pPr>
        <w:pStyle w:val="BodyText"/>
        <w:widowControl/>
        <w:spacing w:lineRule="auto" w:line="264" w:before="0" w:after="70"/>
        <w:rPr/>
      </w:pPr>
      <w:r>
        <w:rPr/>
        <w:t>Existing e-governance systems depend on keyword matching [8]. Under controlled conditions these systems reach a 74.5% macro-F1, but that number falls sharply when applied to Bangalore's actual complaint corpus, where roughly 34% of submissions are written in code-mixed Kannada-English [9]. No deployed platform currently combines multimodal input processing with policy-driven ticket generation and administrator feedback mechanisms in a single pipeline.</w:t>
      </w:r>
    </w:p>
    <w:p>
      <w:pPr>
        <w:pStyle w:val="BodyText"/>
        <w:widowControl/>
        <w:spacing w:lineRule="auto" w:line="264" w:before="0" w:after="70"/>
        <w:rPr/>
      </w:pPr>
      <w:r>
        <w:rPr/>
        <w:t>This paper presents three contributions: a formal pipeline for tri-modal ingestion covering text, audio, and image inputs; a RAG-powered LLM classifier grounded in municipal policy documents; and a spatial routing engine that applies containment tests on authority polygons to enforce jurisdictional boundaries. We validate the full system on 1,247 labeled Bangalore civic complaints. Coupling RAG [2] with a domain-specific policy vector store raises macro-F1 by 12.3 percentage points over a non-augmented baseline.</w:t>
      </w:r>
    </w:p>
    <w:p>
      <w:pPr>
        <w:pStyle w:val="BodyText"/>
        <w:widowControl/>
        <w:spacing w:lineRule="auto" w:line="264" w:before="0" w:after="70"/>
        <w:rPr/>
      </w:pPr>
      <w:r>
        <w:rPr/>
        <w:t>Recent transformer architectures [1][6] provide the semantic encoding layer our classifier builds on. Section II surveys related work; Sections III through V cover the system model, architecture, and implementation; Section VI reports results; and Sections VII and VIII discuss limitations and conclude.</w:t>
      </w:r>
    </w:p>
    <w:p>
      <w:pPr>
        <w:pStyle w:val="Normal"/>
        <w:spacing w:lineRule="auto" w:line="276" w:before="140" w:after="70"/>
        <w:rPr>
          <w:b/>
          <w:bCs/>
          <w:caps/>
        </w:rPr>
      </w:pPr>
      <w:r>
        <w:rPr>
          <w:b/>
          <w:bCs/>
          <w:caps/>
        </w:rPr>
      </w:r>
    </w:p>
    <w:p>
      <w:pPr>
        <w:pStyle w:val="Normal"/>
        <w:spacing w:lineRule="auto" w:line="276" w:before="140" w:after="70"/>
        <w:rPr>
          <w:b/>
          <w:bCs/>
          <w:caps/>
        </w:rPr>
      </w:pPr>
      <w:r>
        <w:rPr>
          <w:b/>
          <w:bCs/>
          <w:caps/>
        </w:rPr>
        <w:tab/>
        <w:t xml:space="preserve">        II. Literature survey</w:t>
      </w:r>
    </w:p>
    <w:p>
      <w:pPr>
        <w:pStyle w:val="Normal"/>
        <w:spacing w:before="80" w:after="20"/>
        <w:ind w:firstLine="720" w:start="720"/>
        <w:rPr>
          <w:b/>
          <w:bCs/>
          <w:sz w:val="18"/>
          <w:szCs w:val="18"/>
        </w:rPr>
      </w:pPr>
      <w:r>
        <w:rPr>
          <w:b/>
          <w:bCs/>
          <w:sz w:val="18"/>
          <w:szCs w:val="18"/>
        </w:rPr>
        <w:t xml:space="preserve">           </w:t>
      </w:r>
      <w:r>
        <w:rPr>
          <w:b/>
          <w:bCs/>
          <w:sz w:val="18"/>
          <w:szCs w:val="18"/>
        </w:rPr>
        <w:t>TABLE I</w:t>
      </w:r>
    </w:p>
    <w:p>
      <w:pPr>
        <w:pStyle w:val="Normal"/>
        <w:spacing w:before="80" w:after="20"/>
        <w:jc w:val="center"/>
        <w:rPr>
          <w:i/>
          <w:iCs/>
          <w:sz w:val="18"/>
          <w:szCs w:val="18"/>
        </w:rPr>
      </w:pPr>
      <w:r>
        <w:rPr>
          <w:i/>
          <w:iCs/>
          <w:sz w:val="18"/>
          <w:szCs w:val="18"/>
        </w:rPr>
        <w:t>Comparative Analysis of Civic Triage and Multimodal Governance Systems.</w:t>
      </w:r>
    </w:p>
    <w:tbl>
      <w:tblPr>
        <w:tblStyle w:val="TableGrid"/>
        <w:tblW w:w="509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61"/>
        <w:gridCol w:w="1483"/>
        <w:gridCol w:w="1495"/>
        <w:gridCol w:w="1559"/>
      </w:tblGrid>
      <w:tr>
        <w:trPr/>
        <w:tc>
          <w:tcPr>
            <w:tcW w:w="561" w:type="dxa"/>
            <w:tcBorders/>
            <w:shd w:color="auto" w:fill="E7E6E6" w:themeFill="background2" w:val="clear"/>
          </w:tcPr>
          <w:p>
            <w:pPr>
              <w:pStyle w:val="BodyText"/>
              <w:spacing w:lineRule="auto" w:line="276" w:before="0" w:after="0"/>
              <w:jc w:val="center"/>
              <w:rPr>
                <w:rFonts w:ascii="Times New Roman" w:hAnsi="Times New Roman" w:cs="Times New Roman"/>
                <w:b/>
                <w:bCs/>
                <w:sz w:val="20"/>
                <w:szCs w:val="20"/>
                <w:lang w:val="en-IN"/>
              </w:rPr>
            </w:pPr>
            <w:r>
              <w:rPr>
                <w:rFonts w:eastAsia="Calibri" w:cs="Times New Roman"/>
                <w:b/>
                <w:bCs/>
                <w:kern w:val="0"/>
                <w:sz w:val="20"/>
                <w:szCs w:val="20"/>
                <w:lang w:val="en-IN" w:bidi="ar-SA"/>
              </w:rPr>
              <w:t>S.No</w:t>
            </w:r>
          </w:p>
        </w:tc>
        <w:tc>
          <w:tcPr>
            <w:tcW w:w="1483" w:type="dxa"/>
            <w:tcBorders/>
            <w:shd w:color="auto" w:fill="E7E6E6" w:themeFill="background2" w:val="clear"/>
          </w:tcPr>
          <w:p>
            <w:pPr>
              <w:pStyle w:val="BodyText"/>
              <w:spacing w:lineRule="auto" w:line="276" w:before="0" w:after="0"/>
              <w:jc w:val="center"/>
              <w:rPr>
                <w:rFonts w:ascii="Times New Roman" w:hAnsi="Times New Roman" w:cs="Times New Roman"/>
                <w:b/>
                <w:bCs/>
                <w:sz w:val="20"/>
                <w:szCs w:val="20"/>
                <w:lang w:val="en-IN"/>
              </w:rPr>
            </w:pPr>
            <w:r>
              <w:rPr>
                <w:rFonts w:eastAsia="Calibri" w:cs="Times New Roman"/>
                <w:b/>
                <w:bCs/>
                <w:kern w:val="0"/>
                <w:sz w:val="20"/>
                <w:szCs w:val="20"/>
                <w:lang w:val="en-IN" w:bidi="ar-SA"/>
              </w:rPr>
              <w:t>Paper Title &amp; Author(s)</w:t>
            </w:r>
          </w:p>
        </w:tc>
        <w:tc>
          <w:tcPr>
            <w:tcW w:w="1495" w:type="dxa"/>
            <w:tcBorders/>
            <w:shd w:color="auto" w:fill="E7E6E6" w:themeFill="background2" w:val="clear"/>
          </w:tcPr>
          <w:p>
            <w:pPr>
              <w:pStyle w:val="BodyText"/>
              <w:spacing w:lineRule="auto" w:line="276" w:before="0" w:after="0"/>
              <w:jc w:val="center"/>
              <w:rPr>
                <w:rFonts w:ascii="Times New Roman" w:hAnsi="Times New Roman" w:cs="Times New Roman"/>
                <w:b/>
                <w:bCs/>
                <w:sz w:val="20"/>
                <w:szCs w:val="20"/>
                <w:lang w:val="en-IN"/>
              </w:rPr>
            </w:pPr>
            <w:r>
              <w:rPr>
                <w:rFonts w:eastAsia="Calibri" w:cs="Times New Roman"/>
                <w:b/>
                <w:bCs/>
                <w:kern w:val="0"/>
                <w:sz w:val="20"/>
                <w:szCs w:val="20"/>
                <w:lang w:val="en-IN" w:bidi="ar-SA"/>
              </w:rPr>
              <w:t>Key Idea / Summary</w:t>
            </w:r>
          </w:p>
        </w:tc>
        <w:tc>
          <w:tcPr>
            <w:tcW w:w="1559" w:type="dxa"/>
            <w:tcBorders/>
            <w:shd w:color="auto" w:fill="E7E6E6" w:themeFill="background2" w:val="clear"/>
          </w:tcPr>
          <w:p>
            <w:pPr>
              <w:pStyle w:val="BodyText"/>
              <w:spacing w:lineRule="auto" w:line="276" w:before="0" w:after="0"/>
              <w:jc w:val="center"/>
              <w:rPr>
                <w:rFonts w:ascii="Times New Roman" w:hAnsi="Times New Roman" w:cs="Times New Roman"/>
                <w:b/>
                <w:bCs/>
                <w:sz w:val="20"/>
                <w:szCs w:val="20"/>
                <w:lang w:val="en-IN"/>
              </w:rPr>
            </w:pPr>
            <w:r>
              <w:rPr>
                <w:rFonts w:eastAsia="Calibri" w:cs="Times New Roman"/>
                <w:b/>
                <w:bCs/>
                <w:kern w:val="0"/>
                <w:sz w:val="20"/>
                <w:szCs w:val="20"/>
                <w:lang w:val="en-IN" w:bidi="ar-SA"/>
              </w:rPr>
              <w:t>Relevance / Takeaway for Project</w:t>
            </w:r>
          </w:p>
        </w:tc>
      </w:tr>
      <w:tr>
        <w:trPr/>
        <w:tc>
          <w:tcPr>
            <w:tcW w:w="561" w:type="dxa"/>
            <w:tcBorders/>
          </w:tcPr>
          <w:p>
            <w:pPr>
              <w:pStyle w:val="BodyText"/>
              <w:spacing w:lineRule="auto" w:line="276" w:before="0" w:after="0"/>
              <w:jc w:val="center"/>
              <w:rPr>
                <w:rFonts w:ascii="Times New Roman" w:hAnsi="Times New Roman" w:cs="Times New Roman"/>
                <w:sz w:val="20"/>
                <w:szCs w:val="20"/>
                <w:lang w:val="en-IN"/>
              </w:rPr>
            </w:pPr>
            <w:r>
              <w:rPr>
                <w:rFonts w:eastAsia="Calibri" w:cs="Times New Roman"/>
                <w:kern w:val="0"/>
                <w:sz w:val="20"/>
                <w:szCs w:val="20"/>
                <w:lang w:val="en-IN" w:bidi="ar-SA"/>
              </w:rPr>
              <w:t>1</w:t>
            </w:r>
          </w:p>
        </w:tc>
        <w:tc>
          <w:tcPr>
            <w:tcW w:w="1483" w:type="dxa"/>
            <w:tcBorders/>
          </w:tcPr>
          <w:p>
            <w:pPr>
              <w:pStyle w:val="BodyText"/>
              <w:spacing w:lineRule="auto" w:line="276" w:before="0" w:after="0"/>
              <w:jc w:val="center"/>
              <w:rPr>
                <w:rFonts w:ascii="Times New Roman" w:hAnsi="Times New Roman" w:cs="Times New Roman"/>
                <w:sz w:val="20"/>
                <w:szCs w:val="20"/>
                <w:lang w:val="en-IN"/>
              </w:rPr>
            </w:pPr>
            <w:r>
              <w:rPr>
                <w:rFonts w:eastAsia="Calibri" w:cs="Times New Roman"/>
                <w:i/>
                <w:iCs/>
                <w:kern w:val="0"/>
                <w:sz w:val="20"/>
                <w:szCs w:val="20"/>
                <w:lang w:val="en-IN" w:bidi="ar-SA"/>
              </w:rPr>
              <w:t>AI-driven triage systems in emergency departments</w:t>
            </w:r>
            <w:r>
              <w:rPr>
                <w:rFonts w:eastAsia="Calibri" w:cs="Times New Roman"/>
                <w:kern w:val="0"/>
                <w:sz w:val="20"/>
                <w:szCs w:val="20"/>
                <w:lang w:val="en-IN" w:bidi="ar-SA"/>
              </w:rPr>
              <w:t xml:space="preserve"> – Adebayo Da’Costa, Jennifer Teke, Joseph E. Origo, Ayokunle Osonuga, Eghosasere Egbon, David B. Olawade (2025)</w:t>
            </w:r>
          </w:p>
        </w:tc>
        <w:tc>
          <w:tcPr>
            <w:tcW w:w="1495" w:type="dxa"/>
            <w:tcBorders/>
          </w:tcPr>
          <w:p>
            <w:pPr>
              <w:pStyle w:val="BodyText"/>
              <w:spacing w:lineRule="auto" w:line="276" w:before="0" w:after="0"/>
              <w:jc w:val="center"/>
              <w:rPr>
                <w:rFonts w:ascii="Times New Roman" w:hAnsi="Times New Roman" w:cs="Times New Roman"/>
                <w:sz w:val="20"/>
                <w:szCs w:val="20"/>
                <w:lang w:val="en-IN"/>
              </w:rPr>
            </w:pPr>
            <w:r>
              <w:rPr>
                <w:rFonts w:eastAsia="Calibri" w:cs="Times New Roman"/>
                <w:kern w:val="0"/>
                <w:sz w:val="20"/>
                <w:szCs w:val="20"/>
                <w:lang w:val="en-IN" w:bidi="ar-SA"/>
              </w:rPr>
              <w:t>Shows how AI improves triage accuracy and efficiency but highlights ethical and implementation challenges.</w:t>
            </w:r>
          </w:p>
        </w:tc>
        <w:tc>
          <w:tcPr>
            <w:tcW w:w="1559" w:type="dxa"/>
            <w:tcBorders/>
          </w:tcPr>
          <w:p>
            <w:pPr>
              <w:pStyle w:val="BodyText"/>
              <w:spacing w:lineRule="auto" w:line="276" w:before="0" w:after="0"/>
              <w:jc w:val="center"/>
              <w:rPr>
                <w:rFonts w:ascii="Times New Roman" w:hAnsi="Times New Roman" w:cs="Times New Roman"/>
                <w:sz w:val="20"/>
                <w:szCs w:val="20"/>
                <w:lang w:val="en-IN"/>
              </w:rPr>
            </w:pPr>
            <w:r>
              <w:rPr>
                <w:rFonts w:eastAsia="Calibri" w:cs="Times New Roman"/>
                <w:kern w:val="0"/>
                <w:sz w:val="20"/>
                <w:szCs w:val="20"/>
                <w:lang w:val="en-IN" w:bidi="ar-SA"/>
              </w:rPr>
              <w:t>Helps understand the importance of accuracy, transparency, and safe AI design in automated decision systems.</w:t>
            </w:r>
          </w:p>
        </w:tc>
      </w:tr>
      <w:tr>
        <w:trPr/>
        <w:tc>
          <w:tcPr>
            <w:tcW w:w="561" w:type="dxa"/>
            <w:tcBorders/>
          </w:tcPr>
          <w:p>
            <w:pPr>
              <w:pStyle w:val="BodyText"/>
              <w:spacing w:lineRule="auto" w:line="276" w:before="0" w:after="0"/>
              <w:jc w:val="start"/>
              <w:rPr>
                <w:rFonts w:ascii="Times New Roman" w:hAnsi="Times New Roman" w:cs="Times New Roman"/>
                <w:sz w:val="20"/>
                <w:szCs w:val="20"/>
                <w:lang w:val="en-IN"/>
              </w:rPr>
            </w:pPr>
            <w:r>
              <w:rPr>
                <w:rFonts w:eastAsia="Calibri" w:cs="Times New Roman"/>
                <w:kern w:val="0"/>
                <w:sz w:val="20"/>
                <w:szCs w:val="20"/>
                <w:lang w:val="en-IN" w:bidi="ar-SA"/>
              </w:rPr>
              <w:t>2</w:t>
            </w:r>
          </w:p>
        </w:tc>
        <w:tc>
          <w:tcPr>
            <w:tcW w:w="1483" w:type="dxa"/>
            <w:tcBorders/>
          </w:tcPr>
          <w:p>
            <w:pPr>
              <w:pStyle w:val="BodyText"/>
              <w:spacing w:lineRule="auto" w:line="276" w:before="0" w:after="0"/>
              <w:jc w:val="start"/>
              <w:rPr>
                <w:rFonts w:ascii="Times New Roman" w:hAnsi="Times New Roman" w:cs="Times New Roman"/>
                <w:sz w:val="20"/>
                <w:szCs w:val="20"/>
                <w:lang w:val="en-IN"/>
              </w:rPr>
            </w:pPr>
            <w:r>
              <w:rPr>
                <w:rFonts w:eastAsia="Calibri" w:cs="Times New Roman"/>
                <w:i/>
                <w:iCs/>
                <w:kern w:val="0"/>
                <w:sz w:val="20"/>
                <w:szCs w:val="20"/>
                <w:lang w:val="en-IN" w:bidi="ar-SA"/>
              </w:rPr>
              <w:t>AI applications in disaster triage: A systematic review</w:t>
            </w:r>
            <w:r>
              <w:rPr>
                <w:rFonts w:eastAsia="Calibri" w:cs="Times New Roman"/>
                <w:kern w:val="0"/>
                <w:sz w:val="20"/>
                <w:szCs w:val="20"/>
                <w:lang w:val="en-IN" w:bidi="ar-SA"/>
              </w:rPr>
              <w:t xml:space="preserve"> – Amir Tahernejad, Amir Sahebi, Ali S. S. Abadi, Mohammad Safari (2024)</w:t>
            </w:r>
          </w:p>
        </w:tc>
        <w:tc>
          <w:tcPr>
            <w:tcW w:w="1495" w:type="dxa"/>
            <w:tcBorders/>
          </w:tcPr>
          <w:p>
            <w:pPr>
              <w:pStyle w:val="BodyText"/>
              <w:spacing w:lineRule="auto" w:line="276" w:before="0" w:after="0"/>
              <w:jc w:val="start"/>
              <w:rPr>
                <w:rFonts w:ascii="Times New Roman" w:hAnsi="Times New Roman" w:cs="Times New Roman"/>
                <w:sz w:val="20"/>
                <w:szCs w:val="20"/>
                <w:lang w:val="en-IN"/>
              </w:rPr>
            </w:pPr>
            <w:r>
              <w:rPr>
                <w:rFonts w:eastAsia="Calibri" w:cs="Times New Roman"/>
                <w:kern w:val="0"/>
                <w:sz w:val="20"/>
                <w:szCs w:val="20"/>
                <w:lang w:val="en-IN" w:bidi="ar-SA"/>
              </w:rPr>
              <w:t>Reviews AI use in emergency and disaster triage emphasizing data integration, accuracy, and ethical frameworks.</w:t>
            </w:r>
          </w:p>
        </w:tc>
        <w:tc>
          <w:tcPr>
            <w:tcW w:w="1559" w:type="dxa"/>
            <w:tcBorders/>
          </w:tcPr>
          <w:p>
            <w:pPr>
              <w:pStyle w:val="BodyText"/>
              <w:spacing w:lineRule="auto" w:line="276" w:before="0" w:after="0"/>
              <w:jc w:val="start"/>
              <w:rPr>
                <w:rFonts w:ascii="Times New Roman" w:hAnsi="Times New Roman" w:cs="Times New Roman"/>
                <w:sz w:val="20"/>
                <w:szCs w:val="20"/>
                <w:lang w:val="en-IN"/>
              </w:rPr>
            </w:pPr>
            <w:r>
              <w:rPr>
                <w:rFonts w:eastAsia="Calibri" w:cs="Times New Roman"/>
                <w:kern w:val="0"/>
                <w:sz w:val="20"/>
                <w:szCs w:val="20"/>
                <w:lang w:val="en-IN" w:bidi="ar-SA"/>
              </w:rPr>
              <w:t>Reinforces need for reliable data systems and ethical oversight in crisis-support technologies.</w:t>
            </w:r>
          </w:p>
        </w:tc>
      </w:tr>
      <w:tr>
        <w:trPr/>
        <w:tc>
          <w:tcPr>
            <w:tcW w:w="561" w:type="dxa"/>
            <w:tcBorders/>
          </w:tcPr>
          <w:p>
            <w:pPr>
              <w:pStyle w:val="BodyText"/>
              <w:spacing w:lineRule="auto" w:line="276" w:before="0" w:after="0"/>
              <w:jc w:val="start"/>
              <w:rPr>
                <w:rFonts w:ascii="Times New Roman" w:hAnsi="Times New Roman" w:cs="Times New Roman"/>
                <w:sz w:val="20"/>
                <w:szCs w:val="20"/>
                <w:lang w:val="en-IN"/>
              </w:rPr>
            </w:pPr>
            <w:r>
              <w:rPr>
                <w:rFonts w:eastAsia="Calibri" w:cs="Times New Roman"/>
                <w:kern w:val="0"/>
                <w:sz w:val="20"/>
                <w:szCs w:val="20"/>
                <w:lang w:val="en-IN" w:bidi="ar-SA"/>
              </w:rPr>
              <w:t>3</w:t>
            </w:r>
          </w:p>
        </w:tc>
        <w:tc>
          <w:tcPr>
            <w:tcW w:w="1483" w:type="dxa"/>
            <w:tcBorders/>
          </w:tcPr>
          <w:p>
            <w:pPr>
              <w:pStyle w:val="BodyText"/>
              <w:spacing w:lineRule="auto" w:line="276" w:before="0" w:after="0"/>
              <w:jc w:val="start"/>
              <w:rPr>
                <w:rFonts w:ascii="Times New Roman" w:hAnsi="Times New Roman" w:cs="Times New Roman"/>
                <w:sz w:val="20"/>
                <w:szCs w:val="20"/>
                <w:lang w:val="en-IN"/>
              </w:rPr>
            </w:pPr>
            <w:r>
              <w:rPr>
                <w:rFonts w:eastAsia="Calibri" w:cs="Times New Roman"/>
                <w:i/>
                <w:iCs/>
                <w:kern w:val="0"/>
                <w:sz w:val="20"/>
                <w:szCs w:val="20"/>
                <w:lang w:val="en-IN" w:bidi="ar-SA"/>
              </w:rPr>
              <w:t>Explainable Multilingual Civic Complaint Resolution System – Gunasree KM (2026)</w:t>
            </w:r>
          </w:p>
        </w:tc>
        <w:tc>
          <w:tcPr>
            <w:tcW w:w="1495" w:type="dxa"/>
            <w:tcBorders/>
          </w:tcPr>
          <w:p>
            <w:pPr>
              <w:pStyle w:val="BodyText"/>
              <w:spacing w:lineRule="auto" w:line="276" w:before="0" w:after="0"/>
              <w:jc w:val="start"/>
              <w:rPr>
                <w:rFonts w:ascii="Times New Roman" w:hAnsi="Times New Roman" w:cs="Times New Roman"/>
                <w:sz w:val="20"/>
                <w:szCs w:val="20"/>
                <w:lang w:val="en-IN"/>
              </w:rPr>
            </w:pPr>
            <w:r>
              <w:rPr>
                <w:rFonts w:eastAsia="Calibri" w:cs="Times New Roman"/>
                <w:kern w:val="0"/>
                <w:sz w:val="20"/>
                <w:szCs w:val="20"/>
                <w:lang w:val="en-IN" w:bidi="ar-SA"/>
              </w:rPr>
              <w:t>Proposes a MuRIL-based model for English, Hindi, and Hinglish complaint routing with SHAP for explainability.</w:t>
            </w:r>
          </w:p>
        </w:tc>
        <w:tc>
          <w:tcPr>
            <w:tcW w:w="1559" w:type="dxa"/>
            <w:tcBorders/>
          </w:tcPr>
          <w:p>
            <w:pPr>
              <w:pStyle w:val="BodyText"/>
              <w:spacing w:lineRule="auto" w:line="276" w:before="0" w:after="0"/>
              <w:jc w:val="start"/>
              <w:rPr>
                <w:rFonts w:ascii="Times New Roman" w:hAnsi="Times New Roman" w:cs="Times New Roman"/>
                <w:sz w:val="20"/>
                <w:szCs w:val="20"/>
                <w:lang w:val="en-IN"/>
              </w:rPr>
            </w:pPr>
            <w:r>
              <w:rPr>
                <w:rFonts w:eastAsia="Calibri" w:cs="Times New Roman"/>
                <w:kern w:val="0"/>
                <w:sz w:val="20"/>
                <w:szCs w:val="20"/>
                <w:lang w:val="en-IN" w:bidi="ar-SA"/>
              </w:rPr>
              <w:t>Provides a benchmark for our multilingual handling of Bangalore-specific "English/Kannada" inputs.</w:t>
            </w:r>
          </w:p>
        </w:tc>
      </w:tr>
      <w:tr>
        <w:trPr/>
        <w:tc>
          <w:tcPr>
            <w:tcW w:w="561" w:type="dxa"/>
            <w:tcBorders/>
          </w:tcPr>
          <w:p>
            <w:pPr>
              <w:pStyle w:val="BodyText"/>
              <w:spacing w:lineRule="auto" w:line="276" w:before="0" w:after="0"/>
              <w:jc w:val="start"/>
              <w:rPr>
                <w:rFonts w:ascii="Times New Roman" w:hAnsi="Times New Roman" w:cs="Times New Roman"/>
                <w:sz w:val="20"/>
                <w:szCs w:val="20"/>
                <w:lang w:val="en-IN"/>
              </w:rPr>
            </w:pPr>
            <w:r>
              <w:rPr>
                <w:rFonts w:eastAsia="Calibri" w:cs="Times New Roman"/>
                <w:kern w:val="0"/>
                <w:sz w:val="20"/>
                <w:szCs w:val="20"/>
                <w:lang w:val="en-IN" w:bidi="ar-SA"/>
              </w:rPr>
              <w:t>4</w:t>
            </w:r>
          </w:p>
        </w:tc>
        <w:tc>
          <w:tcPr>
            <w:tcW w:w="1483" w:type="dxa"/>
            <w:tcBorders/>
          </w:tcPr>
          <w:p>
            <w:pPr>
              <w:pStyle w:val="BodyText"/>
              <w:spacing w:lineRule="auto" w:line="276" w:before="0" w:after="0"/>
              <w:jc w:val="start"/>
              <w:rPr>
                <w:rFonts w:ascii="Times New Roman" w:hAnsi="Times New Roman" w:cs="Times New Roman"/>
                <w:sz w:val="20"/>
                <w:szCs w:val="20"/>
                <w:lang w:val="en-IN"/>
              </w:rPr>
            </w:pPr>
            <w:r>
              <w:rPr>
                <w:rFonts w:eastAsia="Calibri" w:cs="Times New Roman"/>
                <w:i/>
                <w:iCs/>
                <w:kern w:val="0"/>
                <w:sz w:val="20"/>
                <w:szCs w:val="20"/>
                <w:lang w:val="en-IN" w:bidi="ar-SA"/>
              </w:rPr>
              <w:t>AI-driven Administrative Systems</w:t>
            </w:r>
            <w:r>
              <w:rPr>
                <w:rFonts w:eastAsia="Calibri" w:cs="Times New Roman"/>
                <w:kern w:val="0"/>
                <w:sz w:val="20"/>
                <w:szCs w:val="20"/>
                <w:lang w:val="en-IN" w:bidi="ar-SA"/>
              </w:rPr>
              <w:t xml:space="preserve"> – Samuel G. Gabriel (2025)</w:t>
            </w:r>
          </w:p>
        </w:tc>
        <w:tc>
          <w:tcPr>
            <w:tcW w:w="1495" w:type="dxa"/>
            <w:tcBorders/>
          </w:tcPr>
          <w:p>
            <w:pPr>
              <w:pStyle w:val="BodyText"/>
              <w:spacing w:lineRule="auto" w:line="276" w:before="0" w:after="0"/>
              <w:jc w:val="start"/>
              <w:rPr>
                <w:rFonts w:ascii="Times New Roman" w:hAnsi="Times New Roman" w:cs="Times New Roman"/>
                <w:sz w:val="20"/>
                <w:szCs w:val="20"/>
                <w:lang w:val="en-IN"/>
              </w:rPr>
            </w:pPr>
            <w:r>
              <w:rPr>
                <w:rFonts w:eastAsia="Calibri" w:cs="Times New Roman"/>
                <w:kern w:val="0"/>
                <w:sz w:val="20"/>
                <w:szCs w:val="20"/>
                <w:lang w:val="en-IN" w:bidi="ar-SA"/>
              </w:rPr>
              <w:t>Explores AI for improving government transparency, decision-making, and citizen interaction.</w:t>
            </w:r>
          </w:p>
        </w:tc>
        <w:tc>
          <w:tcPr>
            <w:tcW w:w="1559" w:type="dxa"/>
            <w:tcBorders/>
          </w:tcPr>
          <w:p>
            <w:pPr>
              <w:pStyle w:val="BodyText"/>
              <w:spacing w:lineRule="auto" w:line="276" w:before="0" w:after="0"/>
              <w:jc w:val="start"/>
              <w:rPr>
                <w:rFonts w:ascii="Times New Roman" w:hAnsi="Times New Roman" w:cs="Times New Roman"/>
                <w:sz w:val="20"/>
                <w:szCs w:val="20"/>
                <w:lang w:val="en-IN"/>
              </w:rPr>
            </w:pPr>
            <w:r>
              <w:rPr>
                <w:rFonts w:eastAsia="Calibri" w:cs="Times New Roman"/>
                <w:kern w:val="0"/>
                <w:sz w:val="20"/>
                <w:szCs w:val="20"/>
                <w:lang w:val="en-IN" w:bidi="ar-SA"/>
              </w:rPr>
              <w:t>Supports use of AI systems that emphasize accountability, transparency, and trust.</w:t>
            </w:r>
          </w:p>
        </w:tc>
      </w:tr>
      <w:tr>
        <w:trPr/>
        <w:tc>
          <w:tcPr>
            <w:tcW w:w="561" w:type="dxa"/>
            <w:tcBorders/>
          </w:tcPr>
          <w:p>
            <w:pPr>
              <w:pStyle w:val="BodyText"/>
              <w:spacing w:lineRule="auto" w:line="276" w:before="0" w:after="0"/>
              <w:jc w:val="start"/>
              <w:rPr>
                <w:rFonts w:ascii="Times New Roman" w:hAnsi="Times New Roman" w:cs="Times New Roman"/>
                <w:sz w:val="20"/>
                <w:szCs w:val="20"/>
                <w:lang w:val="en-IN"/>
              </w:rPr>
            </w:pPr>
            <w:r>
              <w:rPr>
                <w:rFonts w:eastAsia="Calibri" w:cs="Times New Roman"/>
                <w:kern w:val="0"/>
                <w:sz w:val="20"/>
                <w:szCs w:val="20"/>
                <w:lang w:val="en-IN" w:bidi="ar-SA"/>
              </w:rPr>
              <w:t>5</w:t>
            </w:r>
          </w:p>
        </w:tc>
        <w:tc>
          <w:tcPr>
            <w:tcW w:w="1483" w:type="dxa"/>
            <w:tcBorders/>
          </w:tcPr>
          <w:p>
            <w:pPr>
              <w:pStyle w:val="BodyText"/>
              <w:spacing w:lineRule="auto" w:line="276" w:before="0" w:after="0"/>
              <w:jc w:val="start"/>
              <w:rPr>
                <w:rFonts w:ascii="Times New Roman" w:hAnsi="Times New Roman" w:cs="Times New Roman"/>
                <w:sz w:val="20"/>
                <w:szCs w:val="20"/>
                <w:lang w:val="en-IN"/>
              </w:rPr>
            </w:pPr>
            <w:r>
              <w:rPr>
                <w:rFonts w:eastAsia="Calibri" w:cs="Times New Roman"/>
                <w:i/>
                <w:iCs/>
                <w:kern w:val="0"/>
                <w:sz w:val="20"/>
                <w:szCs w:val="20"/>
                <w:lang w:val="en-IN" w:bidi="ar-SA"/>
              </w:rPr>
              <w:t>Scaling Beyond Context: A</w:t>
            </w:r>
            <w:r>
              <w:rPr>
                <w:rFonts w:eastAsia="Calibri" w:cs="Times New Roman"/>
                <w:b/>
                <w:bCs/>
                <w:i/>
                <w:iCs/>
                <w:kern w:val="0"/>
                <w:sz w:val="20"/>
                <w:szCs w:val="20"/>
                <w:lang w:val="en-IN" w:bidi="ar-SA"/>
              </w:rPr>
              <w:t xml:space="preserve"> </w:t>
            </w:r>
            <w:r>
              <w:rPr>
                <w:rFonts w:eastAsia="Calibri" w:cs="Times New Roman"/>
                <w:i/>
                <w:iCs/>
                <w:kern w:val="0"/>
                <w:sz w:val="20"/>
                <w:szCs w:val="20"/>
                <w:lang w:val="en-IN" w:bidi="ar-SA"/>
              </w:rPr>
              <w:t>Survey of Multimodal RAG – Gong et al. (2026)</w:t>
            </w:r>
          </w:p>
        </w:tc>
        <w:tc>
          <w:tcPr>
            <w:tcW w:w="1495" w:type="dxa"/>
            <w:tcBorders/>
          </w:tcPr>
          <w:p>
            <w:pPr>
              <w:pStyle w:val="BodyText"/>
              <w:spacing w:lineRule="auto" w:line="276" w:before="0" w:after="0"/>
              <w:jc w:val="start"/>
              <w:rPr>
                <w:rFonts w:ascii="Times New Roman" w:hAnsi="Times New Roman" w:cs="Times New Roman"/>
                <w:sz w:val="20"/>
                <w:szCs w:val="20"/>
                <w:lang w:val="en-IN"/>
              </w:rPr>
            </w:pPr>
            <w:r>
              <w:rPr>
                <w:rFonts w:eastAsia="Calibri" w:cs="Times New Roman"/>
                <w:kern w:val="0"/>
                <w:sz w:val="20"/>
                <w:szCs w:val="20"/>
                <w:lang w:val="en-IN" w:bidi="ar-SA"/>
              </w:rPr>
              <w:t>Surveys fine-grained, structure-aware evidence selection in multimodal RAG architectures.</w:t>
            </w:r>
          </w:p>
        </w:tc>
        <w:tc>
          <w:tcPr>
            <w:tcW w:w="1559" w:type="dxa"/>
            <w:tcBorders/>
          </w:tcPr>
          <w:p>
            <w:pPr>
              <w:pStyle w:val="BodyText"/>
              <w:spacing w:lineRule="auto" w:line="276" w:before="0" w:after="0"/>
              <w:jc w:val="start"/>
              <w:rPr>
                <w:rFonts w:ascii="Times New Roman" w:hAnsi="Times New Roman" w:cs="Times New Roman"/>
                <w:sz w:val="20"/>
                <w:szCs w:val="20"/>
                <w:lang w:val="en-IN"/>
              </w:rPr>
            </w:pPr>
            <w:r>
              <w:rPr>
                <w:rFonts w:eastAsia="Calibri" w:cs="Times New Roman"/>
                <w:kern w:val="0"/>
                <w:sz w:val="20"/>
                <w:szCs w:val="20"/>
                <w:lang w:val="en-IN" w:bidi="ar-SA"/>
              </w:rPr>
              <w:t>Validates our choice of CLIP and Whisper as primary ingestion layers for multimodal grounding.</w:t>
            </w:r>
          </w:p>
        </w:tc>
      </w:tr>
      <w:tr>
        <w:trPr/>
        <w:tc>
          <w:tcPr>
            <w:tcW w:w="561" w:type="dxa"/>
            <w:tcBorders/>
          </w:tcPr>
          <w:p>
            <w:pPr>
              <w:pStyle w:val="BodyText"/>
              <w:spacing w:lineRule="auto" w:line="276" w:before="0" w:after="0"/>
              <w:jc w:val="start"/>
              <w:rPr>
                <w:rFonts w:ascii="Times New Roman" w:hAnsi="Times New Roman" w:cs="Times New Roman"/>
                <w:sz w:val="20"/>
                <w:szCs w:val="20"/>
                <w:lang w:val="en-IN"/>
              </w:rPr>
            </w:pPr>
            <w:r>
              <w:rPr>
                <w:rFonts w:eastAsia="Calibri" w:cs="Times New Roman"/>
                <w:kern w:val="0"/>
                <w:sz w:val="20"/>
                <w:szCs w:val="20"/>
                <w:lang w:val="en-IN" w:bidi="ar-SA"/>
              </w:rPr>
              <w:t>6</w:t>
            </w:r>
          </w:p>
        </w:tc>
        <w:tc>
          <w:tcPr>
            <w:tcW w:w="1483" w:type="dxa"/>
            <w:tcBorders/>
          </w:tcPr>
          <w:p>
            <w:pPr>
              <w:pStyle w:val="BodyText"/>
              <w:spacing w:lineRule="auto" w:line="276" w:before="0" w:after="0"/>
              <w:jc w:val="start"/>
              <w:rPr>
                <w:rFonts w:ascii="Times New Roman" w:hAnsi="Times New Roman" w:cs="Times New Roman"/>
                <w:sz w:val="20"/>
                <w:szCs w:val="20"/>
                <w:lang w:val="en-IN"/>
              </w:rPr>
            </w:pPr>
            <w:r>
              <w:rPr>
                <w:rFonts w:eastAsia="Calibri" w:cs="Times New Roman"/>
                <w:i/>
                <w:iCs/>
                <w:kern w:val="0"/>
                <w:sz w:val="20"/>
                <w:szCs w:val="20"/>
                <w:lang w:val="en-IN" w:bidi="ar-SA"/>
              </w:rPr>
              <w:t xml:space="preserve">Enhancing MCP with Context-Aware Server Collaboration – Jayanti et al. (2026) </w:t>
            </w:r>
          </w:p>
        </w:tc>
        <w:tc>
          <w:tcPr>
            <w:tcW w:w="1495" w:type="dxa"/>
            <w:tcBorders/>
          </w:tcPr>
          <w:p>
            <w:pPr>
              <w:pStyle w:val="BodyText"/>
              <w:spacing w:lineRule="auto" w:line="276" w:before="0" w:after="0"/>
              <w:jc w:val="start"/>
              <w:rPr>
                <w:rFonts w:ascii="Times New Roman" w:hAnsi="Times New Roman" w:cs="Times New Roman"/>
                <w:sz w:val="20"/>
                <w:szCs w:val="20"/>
                <w:lang w:val="en-IN"/>
              </w:rPr>
            </w:pPr>
            <w:r>
              <w:rPr>
                <w:rFonts w:eastAsia="Calibri" w:cs="Times New Roman"/>
                <w:kern w:val="0"/>
                <w:sz w:val="20"/>
                <w:szCs w:val="20"/>
                <w:lang w:val="en-IN" w:bidi="ar-SA"/>
              </w:rPr>
              <w:t>Introduces a Shared Context Store (SCS) to reduce LLM overhead in multi-agent workflows.</w:t>
            </w:r>
          </w:p>
        </w:tc>
        <w:tc>
          <w:tcPr>
            <w:tcW w:w="1559" w:type="dxa"/>
            <w:tcBorders/>
          </w:tcPr>
          <w:p>
            <w:pPr>
              <w:pStyle w:val="BodyText"/>
              <w:spacing w:lineRule="auto" w:line="276" w:before="0" w:after="0"/>
              <w:jc w:val="start"/>
              <w:rPr>
                <w:rFonts w:ascii="Times New Roman" w:hAnsi="Times New Roman" w:cs="Times New Roman"/>
                <w:sz w:val="20"/>
                <w:szCs w:val="20"/>
                <w:lang w:val="en-IN"/>
              </w:rPr>
            </w:pPr>
            <w:r>
              <w:rPr>
                <w:rFonts w:eastAsia="Calibri" w:cs="Times New Roman"/>
                <w:kern w:val="0"/>
                <w:sz w:val="20"/>
                <w:szCs w:val="20"/>
                <w:lang w:val="en-IN" w:bidi="ar-SA"/>
              </w:rPr>
              <w:t>Justifies our use of MCP for asynchronous communication between the AI Core and Policy Store.</w:t>
            </w:r>
          </w:p>
        </w:tc>
      </w:tr>
      <w:tr>
        <w:trPr/>
        <w:tc>
          <w:tcPr>
            <w:tcW w:w="561" w:type="dxa"/>
            <w:tcBorders/>
          </w:tcPr>
          <w:p>
            <w:pPr>
              <w:pStyle w:val="BodyText"/>
              <w:spacing w:lineRule="auto" w:line="276" w:before="0" w:after="0"/>
              <w:jc w:val="start"/>
              <w:rPr>
                <w:rFonts w:ascii="Times New Roman" w:hAnsi="Times New Roman" w:cs="Times New Roman"/>
                <w:sz w:val="20"/>
                <w:szCs w:val="20"/>
                <w:lang w:val="en-IN"/>
              </w:rPr>
            </w:pPr>
            <w:r>
              <w:rPr>
                <w:rFonts w:eastAsia="Calibri" w:cs="Times New Roman"/>
                <w:kern w:val="0"/>
                <w:sz w:val="20"/>
                <w:szCs w:val="20"/>
                <w:lang w:val="en-IN" w:bidi="ar-SA"/>
              </w:rPr>
              <w:t>7</w:t>
            </w:r>
          </w:p>
        </w:tc>
        <w:tc>
          <w:tcPr>
            <w:tcW w:w="1483" w:type="dxa"/>
            <w:tcBorders/>
          </w:tcPr>
          <w:p>
            <w:pPr>
              <w:pStyle w:val="BodyText"/>
              <w:spacing w:lineRule="auto" w:line="276" w:before="0" w:after="0"/>
              <w:jc w:val="start"/>
              <w:rPr>
                <w:rFonts w:ascii="Times New Roman" w:hAnsi="Times New Roman" w:cs="Times New Roman"/>
                <w:sz w:val="20"/>
                <w:szCs w:val="20"/>
                <w:lang w:val="en-IN"/>
              </w:rPr>
            </w:pPr>
            <w:r>
              <w:rPr>
                <w:rFonts w:eastAsia="Calibri" w:cs="Times New Roman"/>
                <w:i/>
                <w:iCs/>
                <w:kern w:val="0"/>
                <w:sz w:val="20"/>
                <w:szCs w:val="20"/>
                <w:lang w:val="en-IN" w:bidi="ar-SA"/>
              </w:rPr>
              <w:t>AI in Emergency Management</w:t>
            </w:r>
            <w:r>
              <w:rPr>
                <w:rFonts w:eastAsia="Calibri" w:cs="Times New Roman"/>
                <w:kern w:val="0"/>
                <w:sz w:val="20"/>
                <w:szCs w:val="20"/>
                <w:lang w:val="en-IN" w:bidi="ar-SA"/>
              </w:rPr>
              <w:t xml:space="preserve"> – Samuel Davis, Bush School, Texas A&amp;M (2025)</w:t>
            </w:r>
          </w:p>
        </w:tc>
        <w:tc>
          <w:tcPr>
            <w:tcW w:w="1495" w:type="dxa"/>
            <w:tcBorders/>
          </w:tcPr>
          <w:p>
            <w:pPr>
              <w:pStyle w:val="BodyText"/>
              <w:spacing w:lineRule="auto" w:line="276" w:before="0" w:after="0"/>
              <w:jc w:val="start"/>
              <w:rPr>
                <w:rFonts w:ascii="Times New Roman" w:hAnsi="Times New Roman" w:cs="Times New Roman"/>
                <w:sz w:val="20"/>
                <w:szCs w:val="20"/>
                <w:lang w:val="en-IN"/>
              </w:rPr>
            </w:pPr>
            <w:r>
              <w:rPr>
                <w:rFonts w:eastAsia="Calibri" w:cs="Times New Roman"/>
                <w:kern w:val="0"/>
                <w:sz w:val="20"/>
                <w:szCs w:val="20"/>
                <w:lang w:val="en-IN" w:bidi="ar-SA"/>
              </w:rPr>
              <w:t>Investigates AI’s ethical and operational challenges in disaster response.</w:t>
            </w:r>
          </w:p>
        </w:tc>
        <w:tc>
          <w:tcPr>
            <w:tcW w:w="1559" w:type="dxa"/>
            <w:tcBorders/>
          </w:tcPr>
          <w:p>
            <w:pPr>
              <w:pStyle w:val="BodyText"/>
              <w:spacing w:lineRule="auto" w:line="276" w:before="0" w:after="0"/>
              <w:jc w:val="start"/>
              <w:rPr>
                <w:rFonts w:ascii="Times New Roman" w:hAnsi="Times New Roman" w:cs="Times New Roman"/>
                <w:sz w:val="20"/>
                <w:szCs w:val="20"/>
                <w:lang w:val="en-IN"/>
              </w:rPr>
            </w:pPr>
            <w:r>
              <w:rPr>
                <w:rFonts w:eastAsia="Calibri" w:cs="Times New Roman"/>
                <w:kern w:val="0"/>
                <w:sz w:val="20"/>
                <w:szCs w:val="20"/>
                <w:lang w:val="en-IN" w:bidi="ar-SA"/>
              </w:rPr>
              <w:t>Provides insight on safe AI deployment, especially during high-risk automation.</w:t>
            </w:r>
          </w:p>
        </w:tc>
      </w:tr>
      <w:tr>
        <w:trPr/>
        <w:tc>
          <w:tcPr>
            <w:tcW w:w="561" w:type="dxa"/>
            <w:tcBorders/>
          </w:tcPr>
          <w:p>
            <w:pPr>
              <w:pStyle w:val="BodyText"/>
              <w:spacing w:lineRule="auto" w:line="276" w:before="0" w:after="0"/>
              <w:jc w:val="start"/>
              <w:rPr>
                <w:rFonts w:ascii="Times New Roman" w:hAnsi="Times New Roman" w:cs="Times New Roman"/>
                <w:sz w:val="20"/>
                <w:szCs w:val="20"/>
                <w:lang w:val="en-IN"/>
              </w:rPr>
            </w:pPr>
            <w:r>
              <w:rPr>
                <w:rFonts w:eastAsia="Calibri" w:cs="Times New Roman"/>
                <w:kern w:val="0"/>
                <w:sz w:val="20"/>
                <w:szCs w:val="20"/>
                <w:lang w:val="en-IN" w:bidi="ar-SA"/>
              </w:rPr>
              <w:t>8</w:t>
            </w:r>
          </w:p>
        </w:tc>
        <w:tc>
          <w:tcPr>
            <w:tcW w:w="1483" w:type="dxa"/>
            <w:tcBorders/>
          </w:tcPr>
          <w:p>
            <w:pPr>
              <w:pStyle w:val="BodyText"/>
              <w:spacing w:lineRule="auto" w:line="276" w:before="0" w:after="0"/>
              <w:jc w:val="start"/>
              <w:rPr>
                <w:rFonts w:ascii="Times New Roman" w:hAnsi="Times New Roman" w:cs="Times New Roman"/>
                <w:sz w:val="20"/>
                <w:szCs w:val="20"/>
                <w:lang w:val="en-IN"/>
              </w:rPr>
            </w:pPr>
            <w:r>
              <w:rPr>
                <w:rFonts w:eastAsia="Calibri" w:cs="Times New Roman"/>
                <w:i/>
                <w:iCs/>
                <w:kern w:val="0"/>
                <w:sz w:val="20"/>
                <w:szCs w:val="20"/>
                <w:lang w:val="en-IN" w:bidi="ar-SA"/>
              </w:rPr>
              <w:t>AI for Urban Resilience &amp; Disaster Prediction</w:t>
            </w:r>
            <w:r>
              <w:rPr>
                <w:rFonts w:eastAsia="Calibri" w:cs="Times New Roman"/>
                <w:kern w:val="0"/>
                <w:sz w:val="20"/>
                <w:szCs w:val="20"/>
                <w:lang w:val="en-IN" w:bidi="ar-SA"/>
              </w:rPr>
              <w:t xml:space="preserve"> – Maria E. Candelario (2024)</w:t>
            </w:r>
          </w:p>
        </w:tc>
        <w:tc>
          <w:tcPr>
            <w:tcW w:w="1495" w:type="dxa"/>
            <w:tcBorders/>
          </w:tcPr>
          <w:p>
            <w:pPr>
              <w:pStyle w:val="BodyText"/>
              <w:spacing w:lineRule="auto" w:line="276" w:before="0" w:after="0"/>
              <w:jc w:val="start"/>
              <w:rPr>
                <w:rFonts w:ascii="Times New Roman" w:hAnsi="Times New Roman" w:cs="Times New Roman"/>
                <w:sz w:val="20"/>
                <w:szCs w:val="20"/>
                <w:lang w:val="en-IN"/>
              </w:rPr>
            </w:pPr>
            <w:r>
              <w:rPr>
                <w:rFonts w:eastAsia="Calibri" w:cs="Times New Roman"/>
                <w:kern w:val="0"/>
                <w:sz w:val="20"/>
                <w:szCs w:val="20"/>
                <w:lang w:val="en-IN" w:bidi="ar-SA"/>
              </w:rPr>
              <w:t>Analyzes predictive modeling and real-time decision support for disaster management.</w:t>
            </w:r>
          </w:p>
        </w:tc>
        <w:tc>
          <w:tcPr>
            <w:tcW w:w="1559" w:type="dxa"/>
            <w:tcBorders/>
          </w:tcPr>
          <w:p>
            <w:pPr>
              <w:pStyle w:val="BodyText"/>
              <w:spacing w:lineRule="auto" w:line="276" w:before="0" w:after="0"/>
              <w:jc w:val="start"/>
              <w:rPr>
                <w:rFonts w:ascii="Times New Roman" w:hAnsi="Times New Roman" w:cs="Times New Roman"/>
                <w:sz w:val="20"/>
                <w:szCs w:val="20"/>
                <w:lang w:val="en-IN"/>
              </w:rPr>
            </w:pPr>
            <w:r>
              <w:rPr>
                <w:rFonts w:eastAsia="Calibri" w:cs="Times New Roman"/>
                <w:kern w:val="0"/>
                <w:sz w:val="20"/>
                <w:szCs w:val="20"/>
                <w:lang w:val="en-IN" w:bidi="ar-SA"/>
              </w:rPr>
              <w:t>Suggests using reliable AI models in real-time, high-impact decision scenarios.</w:t>
            </w:r>
          </w:p>
        </w:tc>
      </w:tr>
      <w:tr>
        <w:trPr/>
        <w:tc>
          <w:tcPr>
            <w:tcW w:w="561" w:type="dxa"/>
            <w:tcBorders/>
          </w:tcPr>
          <w:p>
            <w:pPr>
              <w:pStyle w:val="BodyText"/>
              <w:spacing w:lineRule="auto" w:line="276" w:before="0" w:after="0"/>
              <w:jc w:val="start"/>
              <w:rPr>
                <w:rFonts w:ascii="Times New Roman" w:hAnsi="Times New Roman" w:cs="Times New Roman"/>
                <w:sz w:val="20"/>
                <w:szCs w:val="20"/>
                <w:lang w:val="en-IN"/>
              </w:rPr>
            </w:pPr>
            <w:r>
              <w:rPr>
                <w:rFonts w:eastAsia="Calibri" w:cs="Times New Roman"/>
                <w:kern w:val="0"/>
                <w:sz w:val="20"/>
                <w:szCs w:val="20"/>
                <w:lang w:val="en-IN" w:bidi="ar-SA"/>
              </w:rPr>
              <w:t>9</w:t>
            </w:r>
          </w:p>
        </w:tc>
        <w:tc>
          <w:tcPr>
            <w:tcW w:w="1483" w:type="dxa"/>
            <w:tcBorders/>
          </w:tcPr>
          <w:p>
            <w:pPr>
              <w:pStyle w:val="BodyText"/>
              <w:spacing w:lineRule="auto" w:line="276" w:before="0" w:after="0"/>
              <w:jc w:val="start"/>
              <w:rPr>
                <w:rFonts w:ascii="Times New Roman" w:hAnsi="Times New Roman" w:cs="Times New Roman"/>
                <w:sz w:val="20"/>
                <w:szCs w:val="20"/>
                <w:lang w:val="en-IN"/>
              </w:rPr>
            </w:pPr>
            <w:r>
              <w:rPr>
                <w:rFonts w:eastAsia="Calibri" w:cs="Times New Roman"/>
                <w:i/>
                <w:iCs/>
                <w:kern w:val="0"/>
                <w:sz w:val="20"/>
                <w:szCs w:val="20"/>
                <w:lang w:val="en-IN" w:bidi="ar-SA"/>
              </w:rPr>
              <w:t>Ethics &amp; Human Oversight in AI Systems</w:t>
            </w:r>
            <w:r>
              <w:rPr>
                <w:rFonts w:eastAsia="Calibri" w:cs="Times New Roman"/>
                <w:kern w:val="0"/>
                <w:sz w:val="20"/>
                <w:szCs w:val="20"/>
                <w:lang w:val="en-IN" w:bidi="ar-SA"/>
              </w:rPr>
              <w:t xml:space="preserve"> – Harpreet K. Singh, Ritu Sharma (2025)</w:t>
            </w:r>
          </w:p>
        </w:tc>
        <w:tc>
          <w:tcPr>
            <w:tcW w:w="1495" w:type="dxa"/>
            <w:tcBorders/>
          </w:tcPr>
          <w:p>
            <w:pPr>
              <w:pStyle w:val="BodyText"/>
              <w:spacing w:lineRule="auto" w:line="276" w:before="0" w:after="0"/>
              <w:jc w:val="start"/>
              <w:rPr>
                <w:rFonts w:ascii="Times New Roman" w:hAnsi="Times New Roman" w:cs="Times New Roman"/>
                <w:sz w:val="20"/>
                <w:szCs w:val="20"/>
                <w:lang w:val="en-IN"/>
              </w:rPr>
            </w:pPr>
            <w:r>
              <w:rPr>
                <w:rFonts w:eastAsia="Calibri" w:cs="Times New Roman"/>
                <w:kern w:val="0"/>
                <w:sz w:val="20"/>
                <w:szCs w:val="20"/>
                <w:lang w:val="en-IN" w:bidi="ar-SA"/>
              </w:rPr>
              <w:t>Discusses integrating AI responsibly in emergency systems with emphasis on ethics and human oversight.</w:t>
            </w:r>
          </w:p>
        </w:tc>
        <w:tc>
          <w:tcPr>
            <w:tcW w:w="1559" w:type="dxa"/>
            <w:tcBorders/>
          </w:tcPr>
          <w:p>
            <w:pPr>
              <w:pStyle w:val="BodyText"/>
              <w:spacing w:lineRule="auto" w:line="276" w:before="0" w:after="0"/>
              <w:jc w:val="start"/>
              <w:rPr>
                <w:rFonts w:ascii="Times New Roman" w:hAnsi="Times New Roman" w:cs="Times New Roman"/>
                <w:sz w:val="20"/>
                <w:szCs w:val="20"/>
                <w:lang w:val="en-IN"/>
              </w:rPr>
            </w:pPr>
            <w:r>
              <w:rPr>
                <w:rFonts w:eastAsia="Calibri" w:cs="Times New Roman"/>
                <w:kern w:val="0"/>
                <w:sz w:val="20"/>
                <w:szCs w:val="20"/>
                <w:lang w:val="en-IN" w:bidi="ar-SA"/>
              </w:rPr>
              <w:t>Stresses the need to include human-in-the-loop mechanisms in AI-supported platforms.</w:t>
            </w:r>
          </w:p>
        </w:tc>
      </w:tr>
      <w:tr>
        <w:trPr/>
        <w:tc>
          <w:tcPr>
            <w:tcW w:w="561" w:type="dxa"/>
            <w:tcBorders/>
          </w:tcPr>
          <w:p>
            <w:pPr>
              <w:pStyle w:val="BodyText"/>
              <w:spacing w:lineRule="auto" w:line="276" w:before="0" w:after="0"/>
              <w:jc w:val="start"/>
              <w:rPr>
                <w:rFonts w:ascii="Times New Roman" w:hAnsi="Times New Roman" w:cs="Times New Roman"/>
                <w:sz w:val="20"/>
                <w:szCs w:val="20"/>
                <w:lang w:val="en-IN"/>
              </w:rPr>
            </w:pPr>
            <w:r>
              <w:rPr>
                <w:rFonts w:eastAsia="Calibri" w:cs="Times New Roman"/>
                <w:kern w:val="0"/>
                <w:sz w:val="20"/>
                <w:szCs w:val="20"/>
                <w:lang w:val="en-IN" w:bidi="ar-SA"/>
              </w:rPr>
              <w:t>10</w:t>
            </w:r>
          </w:p>
        </w:tc>
        <w:tc>
          <w:tcPr>
            <w:tcW w:w="1483" w:type="dxa"/>
            <w:tcBorders/>
          </w:tcPr>
          <w:p>
            <w:pPr>
              <w:pStyle w:val="BodyText"/>
              <w:spacing w:lineRule="auto" w:line="276" w:before="0" w:after="0"/>
              <w:jc w:val="start"/>
              <w:rPr>
                <w:rFonts w:ascii="Times New Roman" w:hAnsi="Times New Roman" w:cs="Times New Roman"/>
                <w:sz w:val="20"/>
                <w:szCs w:val="20"/>
                <w:lang w:val="en-IN"/>
              </w:rPr>
            </w:pPr>
            <w:r>
              <w:rPr>
                <w:rFonts w:eastAsia="Calibri" w:cs="Times New Roman"/>
                <w:i/>
                <w:iCs/>
                <w:kern w:val="0"/>
                <w:sz w:val="20"/>
                <w:szCs w:val="20"/>
                <w:lang w:val="en-IN" w:bidi="ar-SA"/>
              </w:rPr>
              <w:t>Enterprise RAG &amp; Enabling Public Innovation – DGA Research (2026)</w:t>
            </w:r>
          </w:p>
        </w:tc>
        <w:tc>
          <w:tcPr>
            <w:tcW w:w="1495" w:type="dxa"/>
            <w:tcBorders/>
          </w:tcPr>
          <w:p>
            <w:pPr>
              <w:pStyle w:val="BodyText"/>
              <w:spacing w:lineRule="auto" w:line="276" w:before="0" w:after="0"/>
              <w:jc w:val="start"/>
              <w:rPr>
                <w:rFonts w:ascii="Times New Roman" w:hAnsi="Times New Roman" w:cs="Times New Roman"/>
                <w:sz w:val="20"/>
                <w:szCs w:val="20"/>
                <w:lang w:val="en-IN"/>
              </w:rPr>
            </w:pPr>
            <w:r>
              <w:rPr>
                <w:rFonts w:eastAsia="Calibri" w:cs="Times New Roman"/>
                <w:kern w:val="0"/>
                <w:sz w:val="20"/>
                <w:szCs w:val="20"/>
                <w:lang w:val="en-IN" w:bidi="ar-SA"/>
              </w:rPr>
              <w:t>Analyzes how RAG ensures factuality in public sector AI without the cost of continuous model retraining.</w:t>
            </w:r>
          </w:p>
        </w:tc>
        <w:tc>
          <w:tcPr>
            <w:tcW w:w="1559" w:type="dxa"/>
            <w:tcBorders/>
          </w:tcPr>
          <w:p>
            <w:pPr>
              <w:pStyle w:val="BodyText"/>
              <w:spacing w:lineRule="auto" w:line="276" w:before="0" w:after="0"/>
              <w:jc w:val="start"/>
              <w:rPr>
                <w:rFonts w:ascii="Times New Roman" w:hAnsi="Times New Roman" w:cs="Times New Roman"/>
                <w:sz w:val="20"/>
                <w:szCs w:val="20"/>
                <w:lang w:val="en-IN"/>
              </w:rPr>
            </w:pPr>
            <w:r>
              <w:rPr>
                <w:rFonts w:eastAsia="Calibri" w:cs="Times New Roman"/>
                <w:kern w:val="0"/>
                <w:sz w:val="20"/>
                <w:szCs w:val="20"/>
                <w:lang w:val="en-IN" w:bidi="ar-SA"/>
              </w:rPr>
              <w:t>Confirms that RAG-grounded systems are the current gold standard for municipal accountability.</w:t>
            </w:r>
          </w:p>
        </w:tc>
      </w:tr>
    </w:tbl>
    <w:p>
      <w:pPr>
        <w:pStyle w:val="Normal"/>
        <w:spacing w:lineRule="auto" w:line="276" w:before="140" w:after="70"/>
        <w:rPr>
          <w:caps/>
        </w:rPr>
      </w:pPr>
      <w:r>
        <w:rPr>
          <w:caps/>
        </w:rPr>
      </w:r>
    </w:p>
    <w:p>
      <w:pPr>
        <w:pStyle w:val="Normal"/>
        <w:spacing w:lineRule="auto" w:line="276" w:before="140" w:after="70"/>
        <w:rPr>
          <w:caps/>
        </w:rPr>
      </w:pPr>
      <w:r>
        <w:rPr>
          <w:caps/>
        </w:rPr>
      </w:r>
    </w:p>
    <w:p>
      <w:pPr>
        <w:pStyle w:val="Normal"/>
        <w:spacing w:lineRule="auto" w:line="276" w:before="140" w:after="70"/>
        <w:jc w:val="center"/>
        <w:rPr>
          <w:b/>
          <w:bCs/>
          <w:caps/>
        </w:rPr>
      </w:pPr>
      <w:r>
        <w:rPr>
          <w:b/>
          <w:bCs/>
          <w:caps/>
        </w:rPr>
      </w:r>
    </w:p>
    <w:p>
      <w:pPr>
        <w:pStyle w:val="Normal"/>
        <w:spacing w:lineRule="auto" w:line="276" w:before="140" w:after="70"/>
        <w:jc w:val="center"/>
        <w:rPr>
          <w:b/>
          <w:bCs/>
          <w:caps/>
        </w:rPr>
      </w:pPr>
      <w:r>
        <w:rPr>
          <w:b/>
          <w:bCs/>
          <w:caps/>
        </w:rPr>
        <w:t>III. Related Work</w:t>
      </w:r>
    </w:p>
    <w:p>
      <w:pPr>
        <w:pStyle w:val="Normal"/>
        <w:spacing w:before="100" w:after="50"/>
        <w:rPr>
          <w:b/>
          <w:bCs/>
          <w:i/>
          <w:iCs/>
        </w:rPr>
      </w:pPr>
      <w:r>
        <w:rPr>
          <w:b/>
          <w:bCs/>
          <w:i/>
          <w:iCs/>
        </w:rPr>
      </w:r>
    </w:p>
    <w:p>
      <w:pPr>
        <w:pStyle w:val="Normal"/>
        <w:spacing w:before="100" w:after="50"/>
        <w:rPr/>
      </w:pPr>
      <w:r>
        <w:rPr>
          <w:b/>
          <w:bCs/>
          <w:i/>
          <w:iCs/>
        </w:rPr>
        <w:t>A. Retrieval-Augmented Generation</w:t>
      </w:r>
    </w:p>
    <w:p>
      <w:pPr>
        <w:pStyle w:val="BodyText"/>
        <w:spacing w:lineRule="auto" w:line="264" w:before="0" w:after="70"/>
        <w:ind w:firstLine="432"/>
        <w:jc w:val="both"/>
        <w:rPr/>
      </w:pPr>
      <w:r>
        <w:rPr>
          <w:rStyle w:val="Strong"/>
        </w:rPr>
        <w:t>Final rewrite:</w:t>
      </w:r>
    </w:p>
    <w:p>
      <w:pPr>
        <w:pStyle w:val="BodyText"/>
        <w:widowControl/>
        <w:spacing w:lineRule="auto" w:line="264" w:before="0" w:after="70"/>
        <w:rPr/>
      </w:pPr>
      <w:r>
        <w:rPr/>
        <w:t>Lewis et al. [2] introduced RAG as a framework for knowledge-grounded text generation, reporting consistent gains on open-domain QA benchmarks. Subsequent work applied the approach to legal documents [15] and medical records [16]. Civic complaint triage has not been a target of RAG research before this paper. CivicFlow extends the framework to structured routing by augmenting retrieved policy context with geo-spatial department metadata.</w:t>
      </w:r>
    </w:p>
    <w:p>
      <w:pPr>
        <w:pStyle w:val="BodyText"/>
        <w:widowControl/>
        <w:spacing w:lineRule="auto" w:line="264" w:before="0" w:after="70"/>
        <w:rPr/>
      </w:pPr>
      <w:r>
        <w:rPr>
          <w:rStyle w:val="Strong"/>
        </w:rPr>
        <w:t>B. Multimodal Civic Systems</w:t>
      </w:r>
    </w:p>
    <w:p>
      <w:pPr>
        <w:pStyle w:val="BodyText"/>
        <w:widowControl/>
        <w:spacing w:lineRule="auto" w:line="264" w:before="0" w:after="70"/>
        <w:rPr/>
      </w:pPr>
      <w:r>
        <w:rPr/>
        <w:t>Iyengar et al. [7] surveyed e-governance platforms across five Indian states and found 83% have no multimodal processing capability at all. Kumar et al. [8] built a rule-based complaint router for Pune that reaches 74.5% routing accuracy on text inputs. CLIP [3] has been applied to remote sensing imagery for infrastructure monitoring [17], but no published system has brought it into a live complaint triage pipeline. CivicFlow is the first to combine ASR, vision-language captioning, and LLM ticket generation in a single civic triage architecture.</w:t>
      </w:r>
    </w:p>
    <w:p>
      <w:pPr>
        <w:pStyle w:val="BodyText"/>
        <w:widowControl/>
        <w:spacing w:lineRule="auto" w:line="264" w:before="0" w:after="70"/>
        <w:rPr/>
      </w:pPr>
      <w:r>
        <w:rPr>
          <w:rStyle w:val="Strong"/>
        </w:rPr>
        <w:t>C. Named Entity Recognition for Location Extraction</w:t>
      </w:r>
    </w:p>
    <w:p>
      <w:pPr>
        <w:pStyle w:val="BodyText"/>
        <w:widowControl/>
        <w:spacing w:lineRule="auto" w:line="264" w:before="0" w:after="70"/>
        <w:rPr/>
      </w:pPr>
      <w:r>
        <w:rPr/>
        <w:t>Li et al. [9] find that transformer-based NER outperforms bi-LSTM-CRF by 3.2 F1 points on OntoNotes 5.0. Honnibal et al. [19] show the spaCy en_core_web_trf pipeline matches full BERT-based accuracy at lower latency. Location extraction from civic complaints is harder than these benchmarks capture. Bangalore residents typically describe locations by ward number, junction name, or nearby landmark rather than a street address [20], and most NER models are not trained to handle that.</w:t>
      </w:r>
    </w:p>
    <w:p>
      <w:pPr>
        <w:pStyle w:val="BodyText"/>
        <w:widowControl/>
        <w:spacing w:lineRule="auto" w:line="264" w:before="0" w:after="70"/>
        <w:rPr/>
      </w:pPr>
      <w:r>
        <w:rPr>
          <w:rStyle w:val="Strong"/>
        </w:rPr>
        <w:t>D. Multilingual Realities in Bangalore</w:t>
      </w:r>
    </w:p>
    <w:p>
      <w:pPr>
        <w:pStyle w:val="BodyText"/>
        <w:widowControl/>
        <w:spacing w:lineRule="auto" w:line="264" w:before="0" w:after="70"/>
        <w:rPr/>
      </w:pPr>
      <w:r>
        <w:rPr/>
        <w:t>Standard NLP benchmarks do not reflect what Bangalore's complaint data actually looks like. About 34% of submissions are code-mixed Kannada-English, and generic transformer models drop in accuracy when place names are informal or landmark-relative [26]. Our error analysis pinpoints vocabulary coverage as the main failure mode: current Sentence-BERT tokenizers have thin Kannada representation, and that shows up in classification errors on dialect-heavy complaints. The geocoding layer in CivicFlow partially compensates by constraining candidate locations to a Bangalore bounding box, which filters out the worst spatial misfires even when the linguistic signal is ambiguous.</w:t>
      </w:r>
    </w:p>
    <w:p>
      <w:pPr>
        <w:pStyle w:val="Normal"/>
        <w:spacing w:lineRule="auto" w:line="276" w:before="140" w:after="70"/>
        <w:jc w:val="center"/>
        <w:rPr>
          <w:b/>
          <w:bCs/>
          <w:caps/>
        </w:rPr>
      </w:pPr>
      <w:r>
        <w:rPr>
          <w:b/>
          <w:bCs/>
          <w:caps/>
        </w:rPr>
      </w:r>
    </w:p>
    <w:p>
      <w:pPr>
        <w:pStyle w:val="Normal"/>
        <w:spacing w:lineRule="auto" w:line="276" w:before="140" w:after="70"/>
        <w:jc w:val="center"/>
        <w:rPr>
          <w:b/>
          <w:bCs/>
          <w:caps/>
        </w:rPr>
      </w:pPr>
      <w:r>
        <w:rPr>
          <w:b/>
          <w:bCs/>
          <w:caps/>
        </w:rPr>
      </w:r>
    </w:p>
    <w:p>
      <w:pPr>
        <w:pStyle w:val="Normal"/>
        <w:spacing w:lineRule="auto" w:line="276" w:before="140" w:after="70"/>
        <w:jc w:val="center"/>
        <w:rPr>
          <w:b/>
          <w:bCs/>
          <w:caps/>
        </w:rPr>
      </w:pPr>
      <w:r>
        <w:rPr>
          <w:b/>
          <w:bCs/>
          <w:caps/>
        </w:rPr>
      </w:r>
    </w:p>
    <w:p>
      <w:pPr>
        <w:pStyle w:val="Normal"/>
        <w:spacing w:lineRule="auto" w:line="276" w:before="140" w:after="70"/>
        <w:jc w:val="center"/>
        <w:rPr>
          <w:b/>
          <w:bCs/>
          <w:caps/>
        </w:rPr>
      </w:pPr>
      <w:r>
        <w:rPr>
          <w:b/>
          <w:bCs/>
          <w:caps/>
        </w:rPr>
      </w:r>
    </w:p>
    <w:p>
      <w:pPr>
        <w:pStyle w:val="Normal"/>
        <w:spacing w:lineRule="auto" w:line="276" w:before="140" w:after="70"/>
        <w:jc w:val="center"/>
        <w:rPr>
          <w:b/>
          <w:bCs/>
          <w:caps/>
        </w:rPr>
      </w:pPr>
      <w:r>
        <w:rPr>
          <w:b/>
          <w:bCs/>
          <w:caps/>
        </w:rPr>
      </w:r>
    </w:p>
    <w:p>
      <w:pPr>
        <w:pStyle w:val="Normal"/>
        <w:spacing w:lineRule="auto" w:line="276" w:before="140" w:after="70"/>
        <w:jc w:val="center"/>
        <w:rPr>
          <w:b/>
          <w:bCs/>
          <w:caps/>
        </w:rPr>
      </w:pPr>
      <w:r>
        <w:rPr>
          <w:b/>
          <w:bCs/>
          <w:caps/>
        </w:rPr>
      </w:r>
    </w:p>
    <w:p>
      <w:pPr>
        <w:pStyle w:val="Normal"/>
        <w:spacing w:lineRule="auto" w:line="276" w:before="140" w:after="70"/>
        <w:jc w:val="center"/>
        <w:rPr>
          <w:b/>
          <w:bCs/>
          <w:caps/>
        </w:rPr>
      </w:pPr>
      <w:r>
        <w:rPr>
          <w:b/>
          <w:bCs/>
          <w:caps/>
        </w:rPr>
      </w:r>
    </w:p>
    <w:p>
      <w:pPr>
        <w:pStyle w:val="Normal"/>
        <w:spacing w:lineRule="auto" w:line="276" w:before="140" w:after="70"/>
        <w:jc w:val="center"/>
        <w:rPr>
          <w:b/>
          <w:bCs/>
          <w:caps/>
        </w:rPr>
      </w:pPr>
      <w:r>
        <w:rPr>
          <w:b/>
          <w:bCs/>
          <w:caps/>
        </w:rPr>
      </w:r>
    </w:p>
    <w:p>
      <w:pPr>
        <w:pStyle w:val="Normal"/>
        <w:spacing w:lineRule="auto" w:line="276" w:before="140" w:after="70"/>
        <w:jc w:val="center"/>
        <w:rPr>
          <w:b/>
          <w:bCs/>
          <w:caps/>
        </w:rPr>
      </w:pPr>
      <w:r>
        <w:rPr>
          <w:b/>
          <w:bCs/>
          <w:caps/>
        </w:rPr>
      </w:r>
    </w:p>
    <w:p>
      <w:pPr>
        <w:pStyle w:val="Normal"/>
        <w:spacing w:lineRule="auto" w:line="276" w:before="140" w:after="70"/>
        <w:jc w:val="center"/>
        <w:rPr>
          <w:b/>
          <w:bCs/>
          <w:caps/>
        </w:rPr>
      </w:pPr>
      <w:r>
        <w:rPr>
          <w:b/>
          <w:bCs/>
          <w:caps/>
        </w:rPr>
        <w:t>IV. architecture diagram</w:t>
      </w:r>
    </w:p>
    <w:p>
      <w:pPr>
        <w:pStyle w:val="Normal"/>
        <w:spacing w:lineRule="auto" w:line="276" w:before="140" w:after="70"/>
        <w:jc w:val="center"/>
        <w:rPr>
          <w:caps/>
        </w:rPr>
      </w:pPr>
      <w:r>
        <w:rPr/>
        <w:drawing>
          <wp:inline distT="0" distB="0" distL="0" distR="0">
            <wp:extent cx="3200400" cy="3271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tretch>
                      <a:fillRect/>
                    </a:stretch>
                  </pic:blipFill>
                  <pic:spPr bwMode="auto">
                    <a:xfrm>
                      <a:off x="0" y="0"/>
                      <a:ext cx="3200400" cy="3271520"/>
                    </a:xfrm>
                    <a:prstGeom prst="rect">
                      <a:avLst/>
                    </a:prstGeom>
                    <a:noFill/>
                  </pic:spPr>
                </pic:pic>
              </a:graphicData>
            </a:graphic>
          </wp:inline>
        </w:drawing>
      </w:r>
    </w:p>
    <w:p>
      <w:pPr>
        <w:pStyle w:val="Normal"/>
        <w:spacing w:before="40" w:after="80"/>
        <w:jc w:val="both"/>
        <w:rPr/>
      </w:pPr>
      <w:r>
        <w:rPr>
          <w:b/>
          <w:bCs/>
          <w:i/>
          <w:iCs/>
          <w:sz w:val="18"/>
          <w:szCs w:val="18"/>
        </w:rPr>
        <w:t>Fig 1. The CivicFlow Architecture:</w:t>
      </w:r>
      <w:r>
        <w:rPr>
          <w:i/>
          <w:iCs/>
          <w:sz w:val="18"/>
          <w:szCs w:val="18"/>
        </w:rPr>
        <w:t xml:space="preserve"> Data flows from initial input channels through a multimodal ingestion and cleaning phase. The system then extracts key info for the AI Core—which leverages RAG and a localized Policy Store—before finalizing jurisdictional assignments via the Geo Routing engine and pushing data to the analytics suite.</w:t>
      </w:r>
    </w:p>
    <w:p>
      <w:pPr>
        <w:pStyle w:val="Normal"/>
        <w:spacing w:lineRule="auto" w:line="276" w:before="140" w:after="70"/>
        <w:jc w:val="center"/>
        <w:rPr>
          <w:caps/>
        </w:rPr>
      </w:pPr>
      <w:r>
        <w:rPr>
          <w:caps/>
        </w:rPr>
      </w:r>
    </w:p>
    <w:p>
      <w:pPr>
        <w:pStyle w:val="Normal"/>
        <w:spacing w:lineRule="auto" w:line="276" w:before="140" w:after="70"/>
        <w:jc w:val="center"/>
        <w:rPr>
          <w:b/>
          <w:bCs/>
        </w:rPr>
      </w:pPr>
      <w:r>
        <w:rPr>
          <w:b/>
          <w:bCs/>
          <w:caps/>
        </w:rPr>
        <w:t>v. System Model</w:t>
      </w:r>
    </w:p>
    <w:p>
      <w:pPr>
        <w:pStyle w:val="BodyText"/>
        <w:spacing w:lineRule="auto" w:line="264" w:before="0" w:after="70"/>
        <w:ind w:firstLine="432"/>
        <w:jc w:val="both"/>
        <w:rPr>
          <w:i/>
          <w:iCs/>
          <w:sz w:val="18"/>
          <w:szCs w:val="18"/>
        </w:rPr>
      </w:pPr>
      <w:r>
        <w:rPr>
          <w:i/>
          <w:iCs/>
          <w:sz w:val="18"/>
          <w:szCs w:val="18"/>
        </w:rPr>
        <w:t>Let X denote the space of raw complaint inputs across all modalities. The preprocessing function phi maps X to a unified natural language representation x_t in T, the space of tokenized text sequences.</w:t>
      </w:r>
    </w:p>
    <w:p>
      <w:pPr>
        <w:pStyle w:val="BodyText"/>
        <w:widowControl/>
        <w:spacing w:lineRule="auto" w:line="264" w:before="0" w:after="70"/>
        <w:rPr>
          <w:i/>
          <w:iCs/>
          <w:sz w:val="18"/>
          <w:szCs w:val="18"/>
        </w:rPr>
      </w:pPr>
      <w:r>
        <w:rPr>
          <w:rStyle w:val="Strong"/>
          <w:i/>
          <w:iCs/>
          <w:sz w:val="18"/>
          <w:szCs w:val="18"/>
        </w:rPr>
        <w:t>A. Complaint Representation</w:t>
      </w:r>
    </w:p>
    <w:p>
      <w:pPr>
        <w:pStyle w:val="BodyText"/>
        <w:widowControl/>
        <w:spacing w:lineRule="auto" w:line="264" w:before="0" w:after="70"/>
        <w:rPr>
          <w:i/>
          <w:iCs/>
          <w:sz w:val="18"/>
          <w:szCs w:val="18"/>
        </w:rPr>
      </w:pPr>
      <w:r>
        <w:rPr>
          <w:i/>
          <w:iCs/>
          <w:sz w:val="18"/>
          <w:szCs w:val="18"/>
        </w:rPr>
        <w:t>Each complaint is encoded as a fixed-length dense embedding by the sentence embedding function f_emb:</w:t>
      </w:r>
    </w:p>
    <w:p>
      <w:pPr>
        <w:pStyle w:val="BodyText"/>
        <w:widowControl/>
        <w:spacing w:lineRule="auto" w:line="264" w:before="0" w:after="70"/>
        <w:rPr>
          <w:i/>
          <w:iCs/>
          <w:sz w:val="18"/>
          <w:szCs w:val="18"/>
        </w:rPr>
      </w:pPr>
      <w:r>
        <w:rPr>
          <w:i/>
          <w:iCs/>
          <w:sz w:val="18"/>
          <w:szCs w:val="18"/>
        </w:rPr>
        <w:t>c = f_emb(x_t) in R^768 (1)</w:t>
      </w:r>
    </w:p>
    <w:p>
      <w:pPr>
        <w:pStyle w:val="BodyText"/>
        <w:widowControl/>
        <w:spacing w:lineRule="auto" w:line="264" w:before="0" w:after="70"/>
        <w:rPr>
          <w:i/>
          <w:iCs/>
          <w:sz w:val="18"/>
          <w:szCs w:val="18"/>
        </w:rPr>
      </w:pPr>
      <w:r>
        <w:rPr>
          <w:i/>
          <w:iCs/>
          <w:sz w:val="18"/>
          <w:szCs w:val="18"/>
        </w:rPr>
        <w:t>where f_emb is the all-MiniLM-L6-v2 Sentence-BERT model [5] and 768 is the embedding dimensionality. Each complaint is then represented as the structured tuple:</w:t>
      </w:r>
    </w:p>
    <w:p>
      <w:pPr>
        <w:pStyle w:val="BodyText"/>
        <w:widowControl/>
        <w:spacing w:lineRule="auto" w:line="264" w:before="0" w:after="70"/>
        <w:rPr>
          <w:i/>
          <w:iCs/>
          <w:sz w:val="18"/>
          <w:szCs w:val="18"/>
        </w:rPr>
      </w:pPr>
      <w:r>
        <w:rPr>
          <w:i/>
          <w:iCs/>
          <w:sz w:val="18"/>
          <w:szCs w:val="18"/>
        </w:rPr>
        <w:t>C = (c, loc, t, m, U) (2)</w:t>
      </w:r>
    </w:p>
    <w:p>
      <w:pPr>
        <w:pStyle w:val="BodyText"/>
        <w:widowControl/>
        <w:spacing w:lineRule="auto" w:line="264" w:before="0" w:after="70"/>
        <w:rPr>
          <w:i/>
          <w:iCs/>
          <w:sz w:val="18"/>
          <w:szCs w:val="18"/>
        </w:rPr>
      </w:pPr>
      <w:r>
        <w:rPr>
          <w:i/>
          <w:iCs/>
          <w:sz w:val="18"/>
          <w:szCs w:val="18"/>
        </w:rPr>
        <w:t>where loc = (lat, lon) are geocoded coordinates, t is the submission timestamp, m in {text, audio, image} is the input modality, and U in [0,1] is the urgency score defined in Eq. (6).</w:t>
      </w:r>
    </w:p>
    <w:p>
      <w:pPr>
        <w:pStyle w:val="BodyText"/>
        <w:widowControl/>
        <w:spacing w:lineRule="auto" w:line="264" w:before="0" w:after="70"/>
        <w:rPr>
          <w:i/>
          <w:iCs/>
          <w:sz w:val="18"/>
          <w:szCs w:val="18"/>
        </w:rPr>
      </w:pPr>
      <w:r>
        <w:rPr>
          <w:rStyle w:val="Strong"/>
          <w:i/>
          <w:iCs/>
          <w:sz w:val="18"/>
          <w:szCs w:val="18"/>
        </w:rPr>
        <w:t>B. Probabilistic Classification</w:t>
      </w:r>
    </w:p>
    <w:p>
      <w:pPr>
        <w:pStyle w:val="BodyText"/>
        <w:widowControl/>
        <w:spacing w:lineRule="auto" w:line="264" w:before="0" w:after="70"/>
        <w:rPr>
          <w:i/>
          <w:iCs/>
          <w:sz w:val="18"/>
          <w:szCs w:val="18"/>
        </w:rPr>
      </w:pPr>
      <w:r>
        <w:rPr>
          <w:i/>
          <w:iCs/>
          <w:sz w:val="18"/>
          <w:szCs w:val="18"/>
        </w:rPr>
        <w:t>The complaint classifier maps an embedding c to one of K = 5 municipal department categories D = {BBMP_Roads, BWSSB, BESCOM, BBMP_Waste, BMTC} via a softmax decision function:</w:t>
      </w:r>
    </w:p>
    <w:p>
      <w:pPr>
        <w:pStyle w:val="BodyText"/>
        <w:widowControl/>
        <w:spacing w:lineRule="auto" w:line="264" w:before="0" w:after="70"/>
        <w:rPr>
          <w:i/>
          <w:iCs/>
          <w:sz w:val="18"/>
          <w:szCs w:val="18"/>
        </w:rPr>
      </w:pPr>
      <w:r>
        <w:rPr>
          <w:i/>
          <w:iCs/>
          <w:sz w:val="18"/>
          <w:szCs w:val="18"/>
        </w:rPr>
        <w:t>d* = argmax_k P(d_k | c; theta) (3)</w:t>
      </w:r>
    </w:p>
    <w:p>
      <w:pPr>
        <w:pStyle w:val="BodyText"/>
        <w:widowControl/>
        <w:spacing w:lineRule="auto" w:line="264" w:before="0" w:after="70"/>
        <w:rPr>
          <w:i/>
          <w:iCs/>
          <w:sz w:val="18"/>
          <w:szCs w:val="18"/>
        </w:rPr>
      </w:pPr>
      <w:r>
        <w:rPr>
          <w:i/>
          <w:iCs/>
          <w:sz w:val="18"/>
          <w:szCs w:val="18"/>
        </w:rPr>
        <w:t>P(d_k|c;theta) = exp(w_k^T c + b_k) / sum_j exp(w_j^T c + b_j) (4)</w:t>
      </w:r>
    </w:p>
    <w:p>
      <w:pPr>
        <w:pStyle w:val="BodyText"/>
        <w:widowControl/>
        <w:spacing w:lineRule="auto" w:line="264" w:before="0" w:after="70"/>
        <w:rPr>
          <w:i/>
          <w:iCs/>
          <w:sz w:val="18"/>
          <w:szCs w:val="18"/>
        </w:rPr>
      </w:pPr>
      <w:r>
        <w:rPr>
          <w:i/>
          <w:iCs/>
          <w:sz w:val="18"/>
          <w:szCs w:val="18"/>
        </w:rPr>
        <w:t>where w_k in R^768 and b_k in R are the learned weight vector and bias for department k, and theta = {w_k, b_k}_{k=1}^{K} are the classifier parameters.</w:t>
      </w:r>
    </w:p>
    <w:p>
      <w:pPr>
        <w:pStyle w:val="BodyText"/>
        <w:widowControl/>
        <w:spacing w:lineRule="auto" w:line="264" w:before="0" w:after="70"/>
        <w:rPr>
          <w:i/>
          <w:iCs/>
          <w:sz w:val="18"/>
          <w:szCs w:val="18"/>
        </w:rPr>
      </w:pPr>
      <w:r>
        <w:rPr>
          <w:rStyle w:val="Strong"/>
          <w:i/>
          <w:iCs/>
          <w:sz w:val="18"/>
          <w:szCs w:val="18"/>
        </w:rPr>
        <w:t>C. Retrieval-Augmented Generation</w:t>
      </w:r>
    </w:p>
    <w:p>
      <w:pPr>
        <w:pStyle w:val="BodyText"/>
        <w:widowControl/>
        <w:spacing w:lineRule="auto" w:line="264" w:before="0" w:after="70"/>
        <w:rPr>
          <w:i/>
          <w:iCs/>
          <w:sz w:val="18"/>
          <w:szCs w:val="18"/>
        </w:rPr>
      </w:pPr>
      <w:r>
        <w:rPr>
          <w:i/>
          <w:iCs/>
          <w:sz w:val="18"/>
          <w:szCs w:val="18"/>
        </w:rPr>
        <w:t>Let P = {p_1, ..., p_N} denote the policy vector store containing embeddings of municipal regulation documents. The RAG retrieval function selects the top-R most relevant policy documents by maximum inner product search:</w:t>
      </w:r>
    </w:p>
    <w:p>
      <w:pPr>
        <w:pStyle w:val="BodyText"/>
        <w:widowControl/>
        <w:spacing w:lineRule="auto" w:line="264" w:before="0" w:after="70"/>
        <w:rPr>
          <w:i/>
          <w:iCs/>
          <w:sz w:val="18"/>
          <w:szCs w:val="18"/>
        </w:rPr>
      </w:pPr>
      <w:r>
        <w:rPr>
          <w:i/>
          <w:iCs/>
          <w:sz w:val="18"/>
          <w:szCs w:val="18"/>
        </w:rPr>
        <w:t>R_docs = argmax_R {c . p_j | p_j in P} (5)</w:t>
      </w:r>
    </w:p>
    <w:p>
      <w:pPr>
        <w:pStyle w:val="BodyText"/>
        <w:widowControl/>
        <w:spacing w:lineRule="auto" w:line="264" w:before="0" w:after="70"/>
        <w:rPr>
          <w:i/>
          <w:iCs/>
          <w:sz w:val="18"/>
          <w:szCs w:val="18"/>
        </w:rPr>
      </w:pPr>
      <w:r>
        <w:rPr>
          <w:i/>
          <w:iCs/>
          <w:sz w:val="18"/>
          <w:szCs w:val="18"/>
        </w:rPr>
        <w:t>The augmented complaint context is a weighted concatenation of the retrieved embeddings, where the attention weight for each retrieved document j is:</w:t>
      </w:r>
    </w:p>
    <w:p>
      <w:pPr>
        <w:pStyle w:val="BodyText"/>
        <w:widowControl/>
        <w:spacing w:lineRule="auto" w:line="264" w:before="0" w:after="70"/>
        <w:rPr>
          <w:i/>
          <w:iCs/>
          <w:sz w:val="18"/>
          <w:szCs w:val="18"/>
        </w:rPr>
      </w:pPr>
      <w:r>
        <w:rPr>
          <w:i/>
          <w:iCs/>
          <w:sz w:val="18"/>
          <w:szCs w:val="18"/>
        </w:rPr>
        <w:t>c_aug = concat(c, sum_{j in R} beta_j * p_j) (6)</w:t>
      </w:r>
    </w:p>
    <w:p>
      <w:pPr>
        <w:pStyle w:val="BodyText"/>
        <w:widowControl/>
        <w:spacing w:lineRule="auto" w:line="264" w:before="0" w:after="70"/>
        <w:rPr>
          <w:i/>
          <w:iCs/>
          <w:sz w:val="18"/>
          <w:szCs w:val="18"/>
        </w:rPr>
      </w:pPr>
      <w:r>
        <w:rPr>
          <w:i/>
          <w:iCs/>
          <w:sz w:val="18"/>
          <w:szCs w:val="18"/>
        </w:rPr>
        <w:t>beta_j = sim(c, p_j) / sum_k sim(c, p_k), sim(u,v) = u.v / (||u|| ||v||)</w:t>
      </w:r>
    </w:p>
    <w:p>
      <w:pPr>
        <w:pStyle w:val="BodyText"/>
        <w:widowControl/>
        <w:spacing w:lineRule="auto" w:line="264" w:before="0" w:after="70"/>
        <w:rPr>
          <w:i/>
          <w:iCs/>
          <w:sz w:val="18"/>
          <w:szCs w:val="18"/>
        </w:rPr>
      </w:pPr>
      <w:r>
        <w:rPr>
          <w:rStyle w:val="Strong"/>
          <w:i/>
          <w:iCs/>
          <w:sz w:val="18"/>
          <w:szCs w:val="18"/>
        </w:rPr>
        <w:t>D. Urgency Scoring</w:t>
      </w:r>
    </w:p>
    <w:p>
      <w:pPr>
        <w:pStyle w:val="BodyText"/>
        <w:widowControl/>
        <w:spacing w:lineRule="auto" w:line="264" w:before="0" w:after="70"/>
        <w:rPr>
          <w:i/>
          <w:iCs/>
          <w:sz w:val="18"/>
          <w:szCs w:val="18"/>
        </w:rPr>
      </w:pPr>
      <w:r>
        <w:rPr>
          <w:i/>
          <w:iCs/>
          <w:sz w:val="18"/>
          <w:szCs w:val="18"/>
        </w:rPr>
        <w:t>A VADER-augmented sentiment classifier produces urgency score U in [0,1] as a convex combination of sentiment polarity p in [-1,1] and binary severity indicator s in {0,1}:</w:t>
      </w:r>
    </w:p>
    <w:p>
      <w:pPr>
        <w:pStyle w:val="BodyText"/>
        <w:widowControl/>
        <w:spacing w:lineRule="auto" w:line="264" w:before="0" w:after="70"/>
        <w:rPr>
          <w:i/>
          <w:iCs/>
          <w:sz w:val="18"/>
          <w:szCs w:val="18"/>
        </w:rPr>
      </w:pPr>
      <w:r>
        <w:rPr>
          <w:i/>
          <w:iCs/>
          <w:sz w:val="18"/>
          <w:szCs w:val="18"/>
        </w:rPr>
        <w:t>U = alpha * sigma(-p) + (1 - alpha) * s, alpha = 0.6 (7)</w:t>
      </w:r>
    </w:p>
    <w:p>
      <w:pPr>
        <w:pStyle w:val="BodyText"/>
        <w:widowControl/>
        <w:spacing w:lineRule="auto" w:line="264" w:before="0" w:after="70"/>
        <w:rPr>
          <w:i/>
          <w:iCs/>
          <w:sz w:val="18"/>
          <w:szCs w:val="18"/>
        </w:rPr>
      </w:pPr>
      <w:r>
        <w:rPr>
          <w:i/>
          <w:iCs/>
          <w:sz w:val="18"/>
          <w:szCs w:val="18"/>
        </w:rPr>
        <w:t>sigma(z) = 1/(1+exp(-z)). The severity indicator s = 1 when the complaint text contains domain keywords in {flood, fire, collapse, electrocution, burst, overflow}. U is quantized into three bands: High (U &gt;= 0.7), Medium (0.4 &lt;= U &lt; 0.7), and Low (U &lt; 0.4).</w:t>
      </w:r>
    </w:p>
    <w:p>
      <w:pPr>
        <w:pStyle w:val="BodyText"/>
        <w:widowControl/>
        <w:spacing w:lineRule="auto" w:line="264" w:before="0" w:after="70"/>
        <w:rPr>
          <w:i/>
          <w:iCs/>
          <w:sz w:val="18"/>
          <w:szCs w:val="18"/>
        </w:rPr>
      </w:pPr>
      <w:r>
        <w:rPr>
          <w:rStyle w:val="Strong"/>
          <w:i/>
          <w:iCs/>
          <w:sz w:val="18"/>
          <w:szCs w:val="18"/>
        </w:rPr>
        <w:t>E. Geo-Aware Routing</w:t>
      </w:r>
    </w:p>
    <w:p>
      <w:pPr>
        <w:pStyle w:val="BodyText"/>
        <w:widowControl/>
        <w:spacing w:lineRule="auto" w:line="264" w:before="0" w:after="70"/>
        <w:rPr>
          <w:i/>
          <w:iCs/>
          <w:sz w:val="18"/>
          <w:szCs w:val="18"/>
        </w:rPr>
      </w:pPr>
      <w:r>
        <w:rPr>
          <w:i/>
          <w:iCs/>
          <w:sz w:val="18"/>
          <w:szCs w:val="18"/>
        </w:rPr>
        <w:t>Let G(loc) denote the set of departments whose registered geographic jurisdiction polygon contains the geocoded complaint location loc. Jurisdictional constraints are enforced via:</w:t>
      </w:r>
    </w:p>
    <w:p>
      <w:pPr>
        <w:pStyle w:val="BodyText"/>
        <w:widowControl/>
        <w:spacing w:lineRule="auto" w:line="264" w:before="0" w:after="70"/>
        <w:rPr>
          <w:i/>
          <w:iCs/>
          <w:sz w:val="18"/>
          <w:szCs w:val="18"/>
        </w:rPr>
      </w:pPr>
      <w:r>
        <w:rPr>
          <w:i/>
          <w:iCs/>
          <w:sz w:val="18"/>
          <w:szCs w:val="18"/>
        </w:rPr>
        <w:t>d_route = argmax_k [ P(d_k|c_aug;theta) * I(d_k in G(loc)) ] (8)</w:t>
      </w:r>
    </w:p>
    <w:p>
      <w:pPr>
        <w:pStyle w:val="BodyText"/>
        <w:widowControl/>
        <w:spacing w:lineRule="auto" w:line="264" w:before="0" w:after="70"/>
        <w:rPr>
          <w:i/>
          <w:iCs/>
          <w:sz w:val="18"/>
          <w:szCs w:val="18"/>
        </w:rPr>
      </w:pPr>
      <w:r>
        <w:rPr>
          <w:i/>
          <w:iCs/>
          <w:sz w:val="18"/>
          <w:szCs w:val="18"/>
        </w:rPr>
        <w:t>where I(.) is the indicator function. When |G(loc)| = 0, the complaint escalates to a human administrator. This constraint removes the systematic misrouting errors observed in text-only classifiers [8].</w:t>
      </w:r>
    </w:p>
    <w:p>
      <w:pPr>
        <w:pStyle w:val="BodyText"/>
        <w:widowControl/>
        <w:spacing w:lineRule="auto" w:line="264" w:before="0" w:after="70"/>
        <w:rPr>
          <w:i/>
          <w:iCs/>
          <w:sz w:val="18"/>
          <w:szCs w:val="18"/>
        </w:rPr>
      </w:pPr>
      <w:r>
        <w:rPr>
          <w:rStyle w:val="Strong"/>
          <w:i/>
          <w:iCs/>
          <w:sz w:val="18"/>
          <w:szCs w:val="18"/>
        </w:rPr>
        <w:t>F. Duplicate Detection</w:t>
      </w:r>
    </w:p>
    <w:p>
      <w:pPr>
        <w:pStyle w:val="BodyText"/>
        <w:widowControl/>
        <w:spacing w:lineRule="auto" w:line="264" w:before="0" w:after="70"/>
        <w:rPr>
          <w:i/>
          <w:iCs/>
          <w:sz w:val="18"/>
          <w:szCs w:val="18"/>
        </w:rPr>
      </w:pPr>
      <w:r>
        <w:rPr>
          <w:i/>
          <w:iCs/>
          <w:sz w:val="18"/>
          <w:szCs w:val="18"/>
        </w:rPr>
        <w:t>Cosine similarity between the incoming complaint vector and the stored embedding corpus identifies near-duplicates. A complaint C_new is flagged as a near-duplicate of C_i if:</w:t>
      </w:r>
    </w:p>
    <w:p>
      <w:pPr>
        <w:pStyle w:val="BodyText"/>
        <w:widowControl/>
        <w:spacing w:lineRule="auto" w:line="264" w:before="0" w:after="70"/>
        <w:rPr>
          <w:i/>
          <w:iCs/>
          <w:sz w:val="18"/>
          <w:szCs w:val="18"/>
        </w:rPr>
      </w:pPr>
      <w:r>
        <w:rPr>
          <w:i/>
          <w:iCs/>
          <w:sz w:val="18"/>
          <w:szCs w:val="18"/>
        </w:rPr>
        <w:t>sim(c_new, c_i) = c_new.c_i / (||c_new|| ||c_i||) &gt;= tau (9)</w:t>
      </w:r>
    </w:p>
    <w:p>
      <w:pPr>
        <w:pStyle w:val="BodyText"/>
        <w:widowControl/>
        <w:spacing w:lineRule="auto" w:line="264" w:before="0" w:after="70"/>
        <w:rPr>
          <w:i/>
          <w:iCs/>
          <w:sz w:val="18"/>
          <w:szCs w:val="18"/>
        </w:rPr>
      </w:pPr>
      <w:r>
        <w:rPr>
          <w:i/>
          <w:iCs/>
          <w:sz w:val="18"/>
          <w:szCs w:val="18"/>
        </w:rPr>
        <w:t>where tau = 0.85 is the similarity threshold. Flagged duplicates are linked to the original ticket and routed with elevated urgency, cutting redundant administrative processing.</w:t>
      </w:r>
    </w:p>
    <w:p>
      <w:pPr>
        <w:pStyle w:val="Normal"/>
        <w:spacing w:before="10" w:after="50"/>
        <w:ind w:start="360"/>
        <w:jc w:val="both"/>
        <w:rPr/>
      </w:pPr>
      <w:r>
        <w:rPr/>
      </w:r>
    </w:p>
    <w:p>
      <w:pPr>
        <w:pStyle w:val="Normal"/>
        <w:spacing w:before="40" w:after="80"/>
        <w:jc w:val="both"/>
        <w:rPr>
          <w:i/>
          <w:iCs/>
          <w:sz w:val="18"/>
          <w:szCs w:val="18"/>
        </w:rPr>
      </w:pPr>
      <w:r>
        <w:rPr/>
        <w:drawing>
          <wp:inline distT="0" distB="0" distL="0" distR="0">
            <wp:extent cx="3098800" cy="236093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7"/>
                    <a:stretch>
                      <a:fillRect/>
                    </a:stretch>
                  </pic:blipFill>
                  <pic:spPr bwMode="auto">
                    <a:xfrm>
                      <a:off x="0" y="0"/>
                      <a:ext cx="3098800" cy="2360930"/>
                    </a:xfrm>
                    <a:prstGeom prst="rect">
                      <a:avLst/>
                    </a:prstGeom>
                    <a:noFill/>
                  </pic:spPr>
                </pic:pic>
              </a:graphicData>
            </a:graphic>
          </wp:inline>
        </w:drawing>
      </w:r>
      <w:r>
        <w:rPr>
          <w:b/>
          <w:bCs/>
          <w:i/>
          <w:iCs/>
          <w:sz w:val="18"/>
          <w:szCs w:val="18"/>
        </w:rPr>
        <w:t>Fig. 2. Operational Logic of the CivicFlow Pipeline:</w:t>
      </w:r>
      <w:r>
        <w:rPr>
          <w:i/>
          <w:iCs/>
          <w:sz w:val="18"/>
          <w:szCs w:val="18"/>
        </w:rPr>
        <w:t xml:space="preserve"> The process begins with raw data ingestion from diverse sources, which is then passed through a tri-modal preprocessing stage. From here, the system executes a dual-path extraction—identifying entities (NER) and geographic coordinates</w:t>
      </w:r>
      <w:r>
        <w:rPr>
          <w:i/>
          <w:iCs/>
          <w:sz w:val="18"/>
          <w:szCs w:val="18"/>
        </w:rPr>
        <w:t xml:space="preserve"> b</w:t>
      </w:r>
      <w:r>
        <w:rPr>
          <w:i/>
          <w:iCs/>
          <w:sz w:val="18"/>
          <w:szCs w:val="18"/>
        </w:rPr>
        <w:t>efore feeding into a RAG-augmented Llama3 architecture.</w:t>
      </w:r>
    </w:p>
    <w:p>
      <w:pPr>
        <w:pStyle w:val="Normal"/>
        <w:spacing w:before="40" w:after="80"/>
        <w:jc w:val="center"/>
        <w:rPr/>
      </w:pPr>
      <w:r>
        <w:rPr/>
      </w:r>
    </w:p>
    <w:p>
      <w:pPr>
        <w:pStyle w:val="Normal"/>
        <w:spacing w:before="140" w:after="70"/>
        <w:jc w:val="center"/>
        <w:rPr>
          <w:b/>
          <w:bCs/>
        </w:rPr>
      </w:pPr>
      <w:r>
        <w:rPr>
          <w:b/>
          <w:bCs/>
          <w:caps/>
        </w:rPr>
        <w:t>IV. Proposed Architecture</w:t>
      </w:r>
    </w:p>
    <w:p>
      <w:pPr>
        <w:pStyle w:val="BodyText"/>
        <w:spacing w:lineRule="auto" w:line="264" w:before="0" w:after="70"/>
        <w:ind w:firstLine="432"/>
        <w:jc w:val="both"/>
        <w:rPr/>
      </w:pPr>
      <w:r>
        <w:rPr/>
        <w:t>CivicFlow is built as a seven-layer decoupled architecture that handles complaint processing through asynchronous streaming. Each layer exposes a defined API contract, which allows the most resource-intensive components to scale horizontally without touching the rest of the system. Swapping out a model or a connector does not require a full redesign.</w:t>
      </w:r>
    </w:p>
    <w:p>
      <w:pPr>
        <w:pStyle w:val="BodyText"/>
        <w:widowControl/>
        <w:spacing w:lineRule="auto" w:line="264" w:before="0" w:after="70"/>
        <w:rPr/>
      </w:pPr>
      <w:r>
        <w:rPr>
          <w:rStyle w:val="Strong"/>
        </w:rPr>
        <w:t>A. Complaint Input Channels</w:t>
      </w:r>
    </w:p>
    <w:p>
      <w:pPr>
        <w:pStyle w:val="BodyText"/>
        <w:widowControl/>
        <w:spacing w:lineRule="auto" w:line="264" w:before="0" w:after="70"/>
        <w:rPr/>
      </w:pPr>
      <w:r>
        <w:rPr/>
        <w:t>CivicFlow accepts complaints from five channels: (1) Email via SMTP/IMAP webhook; (2) WhatsApp Business API via Twilio connector; (3) X (Twitter) Filtered Stream API v2; (4) Direct multimedia upload at REST endpoint POST /api/v1/ingest; and (5) a React Native mobile application with GPS tagging and camera integration. All inbound payloads are normalized to a canonical JSON schema {complaint_id, payload, modality, source_channel, timestamp, session_id} and published to the Kafka ingestion topic.</w:t>
      </w:r>
    </w:p>
    <w:p>
      <w:pPr>
        <w:pStyle w:val="BodyText"/>
        <w:widowControl/>
        <w:spacing w:lineRule="auto" w:line="264" w:before="0" w:after="70"/>
        <w:rPr/>
      </w:pPr>
      <w:r>
        <w:rPr>
          <w:rStyle w:val="Strong"/>
        </w:rPr>
        <w:t>B. Ingestion Layer</w:t>
      </w:r>
    </w:p>
    <w:p>
      <w:pPr>
        <w:pStyle w:val="BodyText"/>
        <w:widowControl/>
        <w:spacing w:lineRule="auto" w:line="264" w:before="0" w:after="70"/>
        <w:rPr/>
      </w:pPr>
      <w:r>
        <w:rPr/>
        <w:t>FastAPI [13] receives inbound complaints at port 8000 over TLS 1.3. Each payload is serialized and published to the Apache Kafka [10] topic civic.complaints with partition key = source_channel, which preserves ordering within each channel. A consumer group civicflow-cg of three async workers consumes messages with manual offset commit to avoid data loss during preprocessing failures. Unprocessable messages go to a dead-letter topic civic.dlq for administrative review.</w:t>
      </w:r>
    </w:p>
    <w:p>
      <w:pPr>
        <w:pStyle w:val="BodyText"/>
        <w:widowControl/>
        <w:spacing w:lineRule="auto" w:line="264" w:before="0" w:after="70"/>
        <w:rPr/>
      </w:pPr>
      <w:r>
        <w:rPr>
          <w:rStyle w:val="Strong"/>
        </w:rPr>
        <w:t>C. Multimodal Preprocessing Layer</w:t>
      </w:r>
    </w:p>
    <w:p>
      <w:pPr>
        <w:pStyle w:val="BodyText"/>
        <w:widowControl/>
        <w:spacing w:lineRule="auto" w:line="264" w:before="0" w:after="70"/>
        <w:rPr/>
      </w:pPr>
      <w:r>
        <w:rPr/>
        <w:t>Textual complaints go through Unicode normalization (NFC form), HTML entity decoding, stop-word removal using NLTK, and spaCy tokenization [19]. Audio complaints are resampled to 16 kHz mono PCM and transcribed using OpenAI Whisper [4] (whisper-small.en, 244M parameters). Image complaints are processed by CLIP ViT-B/32 [3] (151M parameters), which generates natural language captions via beam search decoding with beam width 5. All three modalities produce a unified natural language text representation x_t that passes to the information extraction layer.</w:t>
      </w:r>
    </w:p>
    <w:p>
      <w:pPr>
        <w:pStyle w:val="BodyText"/>
        <w:widowControl/>
        <w:spacing w:lineRule="auto" w:line="264" w:before="0" w:after="70"/>
        <w:rPr/>
      </w:pPr>
      <w:r>
        <w:rPr>
          <w:rStyle w:val="Strong"/>
        </w:rPr>
        <w:t>D. Information Extraction Layer</w:t>
      </w:r>
    </w:p>
    <w:p>
      <w:pPr>
        <w:pStyle w:val="BodyText"/>
        <w:widowControl/>
        <w:spacing w:lineRule="auto" w:line="264" w:before="0" w:after="70"/>
        <w:rPr/>
      </w:pPr>
      <w:r>
        <w:rPr/>
        <w:t>The information extraction layer runs three analyses on x_t in parallel: (1) Named Entity Recognition via spaCy en_core_web_trf [19] to pull LOCATION, ORG, DATE, and custom ISSUE_TYPE entities; (2) Geocoding of extracted location strings to (lat, lon) coordinates via the Google Maps Geocoding API [21] with a Bangalore bounding box spatial bias; and (3) Urgency scoring via the VADER sentiment classifier augmented with domain keyword detection (Eq. 7). Results populate the structured tuple C (Eq. 2).</w:t>
      </w:r>
    </w:p>
    <w:p>
      <w:pPr>
        <w:pStyle w:val="BodyText"/>
        <w:widowControl/>
        <w:spacing w:lineRule="auto" w:line="264" w:before="0" w:after="70"/>
        <w:rPr/>
      </w:pPr>
      <w:r>
        <w:rPr>
          <w:rStyle w:val="Strong"/>
        </w:rPr>
        <w:t>E. LLM Ticket Builder</w:t>
      </w:r>
    </w:p>
    <w:p>
      <w:pPr>
        <w:pStyle w:val="BodyText"/>
        <w:widowControl/>
        <w:spacing w:lineRule="auto" w:line="264" w:before="0" w:after="70"/>
        <w:rPr/>
      </w:pPr>
      <w:r>
        <w:rPr/>
        <w:t>The augmented complaint context c_aug (Eq. 6) is built by retrieving the top-3 most relevant policy documents from the pgvector [22] vector store via maximum inner product search (Eq. 5). Retrieved policy excerpts and the complaint embedding are concatenated into a structured prompt passed to Llama-3 8B Instruct [14] (8.03 billion parameters, INT4 quantization via GGUF, 4096-token context window, greedy decoding). The model outputs a structured JSON ticket containing a unique UUID, the assigned department, a confidence score, geocoordinates nested in a location object, and boolean duplicate flags. That object goes directly into the database without post-processing.</w:t>
      </w:r>
    </w:p>
    <w:p>
      <w:pPr>
        <w:pStyle w:val="BodyText"/>
        <w:widowControl/>
        <w:spacing w:lineRule="auto" w:line="264" w:before="0" w:after="70"/>
        <w:rPr/>
      </w:pPr>
      <w:r>
        <w:rPr>
          <w:rStyle w:val="Strong"/>
        </w:rPr>
        <w:t>F. Authority Routing and Notification</w:t>
      </w:r>
    </w:p>
    <w:p>
      <w:pPr>
        <w:pStyle w:val="BodyText"/>
        <w:widowControl/>
        <w:spacing w:lineRule="auto" w:line="264" w:before="0" w:after="70"/>
        <w:rPr/>
      </w:pPr>
      <w:r>
        <w:rPr/>
        <w:t>The geo-aware routing engine applies Eq. (8) to assign each ticket to one of five departments: BBMP Roads and Potholes (road damage, potholes, flooding), BWSSB Helpline 1916 (water supply failures, sewage overflow, pipe bursts), BESCOM Helpline 1912 (electricity outages, streetlight failures, transformer faults), BBMP Solid Waste Management (garbage collection, illegal dumping, drain blockage), and BMTC Helpline 1800-102-1663 (bus route disruptions, shelter damage). Routed tickets are dispatched via Slack webhook or Microsoft Teams connector, with SMS fallback for high-urgency complaints. Misclassification corrections submitted through the administrator API (POST /api/v1/feedback) queue asynchronously for model retraining.</w:t>
      </w:r>
    </w:p>
    <w:p>
      <w:pPr>
        <w:pStyle w:val="BodyText"/>
        <w:widowControl/>
        <w:spacing w:lineRule="auto" w:line="264" w:before="0" w:after="70"/>
        <w:rPr/>
      </w:pPr>
      <w:r>
        <w:rPr>
          <w:rStyle w:val="Strong"/>
        </w:rPr>
        <w:t>G. Dashboard and Analytics Layer</w:t>
      </w:r>
    </w:p>
    <w:p>
      <w:pPr>
        <w:pStyle w:val="BodyText"/>
        <w:widowControl/>
        <w:spacing w:lineRule="auto" w:line="264" w:before="0" w:after="70"/>
        <w:rPr/>
      </w:pPr>
      <w:r>
        <w:rPr/>
        <w:t>A React 18 and Next.js 14 [23][24] dashboard surfaces real-time governance analytics across five views: (1) a Leaflet.js choropleth map showing complaint density per Bangalore ward; (2) Recharts time-series broken down by category and urgency; (3) an SLA compliance tracker that measures response time against BBMP's mandated 72-hour resolution window; (4) an admin panel for ticket management, feedback submission, and role-based access control; and (5) a PostgreSQL [12]-backed export to CSV and PDF for quarterly governance reports.</w:t>
      </w:r>
    </w:p>
    <w:p>
      <w:pPr>
        <w:pStyle w:val="Normal"/>
        <w:spacing w:lineRule="auto" w:line="264" w:before="0" w:after="70"/>
        <w:ind w:firstLine="432"/>
        <w:jc w:val="both"/>
        <w:rPr>
          <w:i/>
          <w:iCs/>
          <w:sz w:val="18"/>
          <w:szCs w:val="18"/>
        </w:rPr>
      </w:pPr>
      <w:r>
        <w:rPr>
          <w:i/>
          <w:iCs/>
          <w:sz w:val="18"/>
          <w:szCs w:val="18"/>
        </w:rPr>
      </w:r>
    </w:p>
    <w:p>
      <w:pPr>
        <w:pStyle w:val="Normal"/>
        <w:spacing w:lineRule="auto" w:line="276" w:before="140" w:after="70"/>
        <w:jc w:val="center"/>
        <w:rPr>
          <w:b/>
          <w:bCs/>
        </w:rPr>
      </w:pPr>
      <w:r>
        <w:rPr>
          <w:b/>
          <w:bCs/>
          <w:caps/>
        </w:rPr>
        <w:t>VI. Implementation</w:t>
      </w:r>
    </w:p>
    <w:p>
      <w:pPr>
        <w:pStyle w:val="BodyText"/>
        <w:spacing w:lineRule="auto" w:line="264" w:before="0" w:after="70"/>
        <w:ind w:firstLine="432"/>
        <w:jc w:val="both"/>
        <w:rPr/>
      </w:pPr>
      <w:r>
        <w:rPr/>
        <w:t>CivicFlow is implemented in Python 3.10 and TypeScript 5.0. The backend exposes 12 REST endpoints documented via OpenAPI 3.1. All services run in Docker [25] containers orchestrated by Kubernetes, with horizontal pod autoscaling set to hold p95 classification latency below 3 s under loads up to 1,000 complaints per minute, which sits within Apache Kafka's [10] throughput envelope.</w:t>
      </w:r>
    </w:p>
    <w:p>
      <w:pPr>
        <w:pStyle w:val="BodyText"/>
        <w:widowControl/>
        <w:spacing w:lineRule="auto" w:line="264" w:before="0" w:after="70"/>
        <w:rPr/>
      </w:pPr>
      <w:r>
        <w:rPr/>
        <w:t>Table I lists the key system components and their configurations. The sentence embedding function f_emb (Eq. 1) runs as a FastAPI microservice with batched inference at batch size 32, reaching 850 embeddings per second on NVIDIA A100 hardware. The pgvector extension [22] to PostgreSQL [12] handles 1,536-dimensional approximate nearest neighbor search via HNSW indexing with ef_construction = 128. Over a policy corpus of 2,400 documents, retrieval latency stays below 10 ms at the 99th percentile.</w:t>
      </w:r>
    </w:p>
    <w:p>
      <w:pPr>
        <w:pStyle w:val="Normal"/>
        <w:spacing w:before="80" w:after="20"/>
        <w:jc w:val="center"/>
        <w:rPr/>
      </w:pPr>
      <w:r>
        <w:rPr>
          <w:b/>
          <w:bCs/>
          <w:sz w:val="18"/>
          <w:szCs w:val="18"/>
        </w:rPr>
        <w:t>TABLE II</w:t>
      </w:r>
    </w:p>
    <w:p>
      <w:pPr>
        <w:pStyle w:val="Normal"/>
        <w:spacing w:before="0" w:after="30"/>
        <w:jc w:val="center"/>
        <w:rPr/>
      </w:pPr>
      <w:r>
        <w:rPr>
          <w:i/>
          <w:iCs/>
          <w:sz w:val="18"/>
          <w:szCs w:val="18"/>
        </w:rPr>
        <w:t>Implementation Components and Parameterization</w:t>
      </w:r>
    </w:p>
    <w:tbl>
      <w:tblPr>
        <w:tblW w:w="4880" w:type="dxa"/>
        <w:jc w:val="start"/>
        <w:tblInd w:w="0" w:type="dxa"/>
        <w:tblLayout w:type="fixed"/>
        <w:tblCellMar>
          <w:top w:w="60" w:type="dxa"/>
          <w:start w:w="100" w:type="dxa"/>
          <w:bottom w:w="60" w:type="dxa"/>
          <w:end w:w="100" w:type="dxa"/>
        </w:tblCellMar>
        <w:tblLook w:noHBand="0" w:noVBand="1" w:firstColumn="1" w:lastRow="0" w:lastColumn="0" w:firstRow="1" w:val="04a0"/>
      </w:tblPr>
      <w:tblGrid>
        <w:gridCol w:w="1600"/>
        <w:gridCol w:w="1899"/>
        <w:gridCol w:w="1381"/>
      </w:tblGrid>
      <w:tr>
        <w:trPr/>
        <w:tc>
          <w:tcPr>
            <w:tcW w:w="1600" w:type="dxa"/>
            <w:tcBorders>
              <w:top w:val="single" w:sz="4" w:space="0" w:color="333333"/>
              <w:start w:val="single" w:sz="4" w:space="0" w:color="333333"/>
              <w:bottom w:val="single" w:sz="4" w:space="0" w:color="333333"/>
              <w:end w:val="single" w:sz="4" w:space="0" w:color="333333"/>
            </w:tcBorders>
            <w:shd w:color="auto" w:fill="DDDDDD" w:val="clear"/>
          </w:tcPr>
          <w:p>
            <w:pPr>
              <w:pStyle w:val="Normal"/>
              <w:jc w:val="center"/>
              <w:rPr/>
            </w:pPr>
            <w:r>
              <w:rPr>
                <w:b/>
                <w:bCs/>
                <w:sz w:val="18"/>
                <w:szCs w:val="18"/>
              </w:rPr>
              <w:t>Component</w:t>
            </w:r>
          </w:p>
        </w:tc>
        <w:tc>
          <w:tcPr>
            <w:tcW w:w="1899" w:type="dxa"/>
            <w:tcBorders>
              <w:top w:val="single" w:sz="4" w:space="0" w:color="333333"/>
              <w:start w:val="single" w:sz="4" w:space="0" w:color="333333"/>
              <w:bottom w:val="single" w:sz="4" w:space="0" w:color="333333"/>
              <w:end w:val="single" w:sz="4" w:space="0" w:color="333333"/>
            </w:tcBorders>
            <w:shd w:color="auto" w:fill="DDDDDD" w:val="clear"/>
          </w:tcPr>
          <w:p>
            <w:pPr>
              <w:pStyle w:val="Normal"/>
              <w:jc w:val="center"/>
              <w:rPr/>
            </w:pPr>
            <w:r>
              <w:rPr>
                <w:b/>
                <w:bCs/>
                <w:sz w:val="18"/>
                <w:szCs w:val="18"/>
              </w:rPr>
              <w:t>Technology</w:t>
            </w:r>
          </w:p>
        </w:tc>
        <w:tc>
          <w:tcPr>
            <w:tcW w:w="1381" w:type="dxa"/>
            <w:tcBorders>
              <w:top w:val="single" w:sz="4" w:space="0" w:color="333333"/>
              <w:start w:val="single" w:sz="4" w:space="0" w:color="333333"/>
              <w:bottom w:val="single" w:sz="4" w:space="0" w:color="333333"/>
              <w:end w:val="single" w:sz="4" w:space="0" w:color="333333"/>
            </w:tcBorders>
            <w:shd w:color="auto" w:fill="DDDDDD" w:val="clear"/>
          </w:tcPr>
          <w:p>
            <w:pPr>
              <w:pStyle w:val="Normal"/>
              <w:jc w:val="center"/>
              <w:rPr/>
            </w:pPr>
            <w:r>
              <w:rPr>
                <w:b/>
                <w:bCs/>
                <w:sz w:val="18"/>
                <w:szCs w:val="18"/>
              </w:rPr>
              <w:t>Parameters</w:t>
            </w:r>
          </w:p>
        </w:tc>
      </w:tr>
      <w:tr>
        <w:trPr/>
        <w:tc>
          <w:tcPr>
            <w:tcW w:w="1600"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LLM</w:t>
            </w:r>
          </w:p>
        </w:tc>
        <w:tc>
          <w:tcPr>
            <w:tcW w:w="1899"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Llama-3 8B Instruct (INT4)</w:t>
            </w:r>
          </w:p>
        </w:tc>
        <w:tc>
          <w:tcPr>
            <w:tcW w:w="1381"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8.03B params, 4096 ctx</w:t>
            </w:r>
          </w:p>
        </w:tc>
      </w:tr>
      <w:tr>
        <w:trPr/>
        <w:tc>
          <w:tcPr>
            <w:tcW w:w="1600"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ASR</w:t>
            </w:r>
          </w:p>
        </w:tc>
        <w:tc>
          <w:tcPr>
            <w:tcW w:w="1899"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Whisper-small.en</w:t>
            </w:r>
          </w:p>
        </w:tc>
        <w:tc>
          <w:tcPr>
            <w:tcW w:w="1381"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244M params, 16 kHz</w:t>
            </w:r>
          </w:p>
        </w:tc>
      </w:tr>
      <w:tr>
        <w:trPr/>
        <w:tc>
          <w:tcPr>
            <w:tcW w:w="1600"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Vision</w:t>
            </w:r>
          </w:p>
        </w:tc>
        <w:tc>
          <w:tcPr>
            <w:tcW w:w="1899"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CLIP ViT-B/32</w:t>
            </w:r>
          </w:p>
        </w:tc>
        <w:tc>
          <w:tcPr>
            <w:tcW w:w="1381"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151M params, 224x224</w:t>
            </w:r>
          </w:p>
        </w:tc>
      </w:tr>
      <w:tr>
        <w:trPr/>
        <w:tc>
          <w:tcPr>
            <w:tcW w:w="1600"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Embeddings</w:t>
            </w:r>
          </w:p>
        </w:tc>
        <w:tc>
          <w:tcPr>
            <w:tcW w:w="1899"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Sentence-BERT MiniLM-L6</w:t>
            </w:r>
          </w:p>
        </w:tc>
        <w:tc>
          <w:tcPr>
            <w:tcW w:w="1381"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22M params, d=384</w:t>
            </w:r>
          </w:p>
        </w:tc>
      </w:tr>
      <w:tr>
        <w:trPr/>
        <w:tc>
          <w:tcPr>
            <w:tcW w:w="1600"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Vector DB</w:t>
            </w:r>
          </w:p>
        </w:tc>
        <w:tc>
          <w:tcPr>
            <w:tcW w:w="1899"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pgvector (HNSW)</w:t>
            </w:r>
          </w:p>
        </w:tc>
        <w:tc>
          <w:tcPr>
            <w:tcW w:w="1381"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ef=128, d=1536</w:t>
            </w:r>
          </w:p>
        </w:tc>
      </w:tr>
      <w:tr>
        <w:trPr/>
        <w:tc>
          <w:tcPr>
            <w:tcW w:w="1600"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Messaging</w:t>
            </w:r>
          </w:p>
        </w:tc>
        <w:tc>
          <w:tcPr>
            <w:tcW w:w="1899"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Apache Kafka</w:t>
            </w:r>
          </w:p>
        </w:tc>
        <w:tc>
          <w:tcPr>
            <w:tcW w:w="1381"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3 brokers, 3 partitions</w:t>
            </w:r>
          </w:p>
        </w:tc>
      </w:tr>
      <w:tr>
        <w:trPr/>
        <w:tc>
          <w:tcPr>
            <w:tcW w:w="1600"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API</w:t>
            </w:r>
          </w:p>
        </w:tc>
        <w:tc>
          <w:tcPr>
            <w:tcW w:w="1899"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FastAPI + Uvicorn</w:t>
            </w:r>
          </w:p>
        </w:tc>
        <w:tc>
          <w:tcPr>
            <w:tcW w:w="1381"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12 endpoints, TLS 1.3</w:t>
            </w:r>
          </w:p>
        </w:tc>
      </w:tr>
      <w:tr>
        <w:trPr/>
        <w:tc>
          <w:tcPr>
            <w:tcW w:w="1600"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Database</w:t>
            </w:r>
          </w:p>
        </w:tc>
        <w:tc>
          <w:tcPr>
            <w:tcW w:w="1899"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PostgreSQL 16</w:t>
            </w:r>
          </w:p>
        </w:tc>
        <w:tc>
          <w:tcPr>
            <w:tcW w:w="1381"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pgvector extension</w:t>
            </w:r>
          </w:p>
        </w:tc>
      </w:tr>
      <w:tr>
        <w:trPr/>
        <w:tc>
          <w:tcPr>
            <w:tcW w:w="1600"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Frontend</w:t>
            </w:r>
          </w:p>
        </w:tc>
        <w:tc>
          <w:tcPr>
            <w:tcW w:w="1899"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React 18 + Next.js 14</w:t>
            </w:r>
          </w:p>
        </w:tc>
        <w:tc>
          <w:tcPr>
            <w:tcW w:w="1381"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SSR, Recharts, Leaflet</w:t>
            </w:r>
          </w:p>
        </w:tc>
      </w:tr>
      <w:tr>
        <w:trPr/>
        <w:tc>
          <w:tcPr>
            <w:tcW w:w="1600"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Container</w:t>
            </w:r>
          </w:p>
        </w:tc>
        <w:tc>
          <w:tcPr>
            <w:tcW w:w="1899"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Docker + Kubernetes</w:t>
            </w:r>
          </w:p>
        </w:tc>
        <w:tc>
          <w:tcPr>
            <w:tcW w:w="1381"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HPA, 1K complaints/min</w:t>
            </w:r>
          </w:p>
        </w:tc>
      </w:tr>
    </w:tbl>
    <w:p>
      <w:pPr>
        <w:pStyle w:val="Normal"/>
        <w:spacing w:before="80" w:after="0"/>
        <w:rPr/>
      </w:pPr>
      <w:r>
        <w:rPr/>
        <w:drawing>
          <wp:inline distT="0" distB="0" distL="0" distR="0">
            <wp:extent cx="3098800" cy="16891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8"/>
                    <a:stretch>
                      <a:fillRect/>
                    </a:stretch>
                  </pic:blipFill>
                  <pic:spPr bwMode="auto">
                    <a:xfrm>
                      <a:off x="0" y="0"/>
                      <a:ext cx="3098800" cy="1689100"/>
                    </a:xfrm>
                    <a:prstGeom prst="rect">
                      <a:avLst/>
                    </a:prstGeom>
                    <a:noFill/>
                  </pic:spPr>
                </pic:pic>
              </a:graphicData>
            </a:graphic>
          </wp:inline>
        </w:drawing>
      </w:r>
    </w:p>
    <w:p>
      <w:pPr>
        <w:pStyle w:val="Normal"/>
        <w:spacing w:before="40" w:after="80"/>
        <w:jc w:val="center"/>
        <w:rPr/>
      </w:pPr>
      <w:r>
        <w:rPr>
          <w:i/>
          <w:iCs/>
          <w:sz w:val="18"/>
          <w:szCs w:val="18"/>
        </w:rPr>
        <w:t>Fig. 3. CivicFlow Next.js administrative dashboard showing complaint density map, SLA compliance tracker, and real-time category breakdown.</w:t>
      </w:r>
    </w:p>
    <w:p>
      <w:pPr>
        <w:pStyle w:val="Normal"/>
        <w:spacing w:lineRule="auto" w:line="276" w:before="140" w:after="70"/>
        <w:jc w:val="center"/>
        <w:rPr>
          <w:b/>
          <w:bCs/>
          <w:caps/>
        </w:rPr>
      </w:pPr>
      <w:r>
        <w:rPr>
          <w:b/>
          <w:bCs/>
          <w:caps/>
        </w:rPr>
      </w:r>
    </w:p>
    <w:p>
      <w:pPr>
        <w:pStyle w:val="Normal"/>
        <w:spacing w:lineRule="auto" w:line="276" w:before="140" w:after="70"/>
        <w:jc w:val="center"/>
        <w:rPr>
          <w:b/>
          <w:bCs/>
          <w:caps/>
        </w:rPr>
      </w:pPr>
      <w:r>
        <w:rPr>
          <w:b/>
          <w:bCs/>
          <w:caps/>
        </w:rPr>
      </w:r>
    </w:p>
    <w:p>
      <w:pPr>
        <w:pStyle w:val="Normal"/>
        <w:spacing w:lineRule="auto" w:line="276" w:before="140" w:after="70"/>
        <w:jc w:val="center"/>
        <w:rPr>
          <w:b/>
          <w:bCs/>
          <w:caps/>
        </w:rPr>
      </w:pPr>
      <w:r>
        <w:rPr>
          <w:b/>
          <w:bCs/>
          <w:caps/>
        </w:rPr>
      </w:r>
    </w:p>
    <w:p>
      <w:pPr>
        <w:pStyle w:val="Normal"/>
        <w:spacing w:lineRule="auto" w:line="276" w:before="140" w:after="70"/>
        <w:jc w:val="center"/>
        <w:rPr>
          <w:b/>
          <w:bCs/>
          <w:caps/>
        </w:rPr>
      </w:pPr>
      <w:r>
        <w:rPr>
          <w:b/>
          <w:bCs/>
          <w:caps/>
        </w:rPr>
      </w:r>
    </w:p>
    <w:p>
      <w:pPr>
        <w:pStyle w:val="Normal"/>
        <w:spacing w:lineRule="auto" w:line="276" w:before="140" w:after="70"/>
        <w:jc w:val="center"/>
        <w:rPr>
          <w:b/>
          <w:bCs/>
          <w:caps/>
        </w:rPr>
      </w:pPr>
      <w:r>
        <w:rPr>
          <w:b/>
          <w:bCs/>
          <w:caps/>
        </w:rPr>
      </w:r>
    </w:p>
    <w:p>
      <w:pPr>
        <w:pStyle w:val="Normal"/>
        <w:spacing w:lineRule="auto" w:line="276" w:before="140" w:after="70"/>
        <w:jc w:val="center"/>
        <w:rPr>
          <w:b/>
          <w:bCs/>
          <w:caps/>
        </w:rPr>
      </w:pPr>
      <w:r>
        <w:rPr>
          <w:b/>
          <w:bCs/>
          <w:caps/>
        </w:rPr>
      </w:r>
    </w:p>
    <w:p>
      <w:pPr>
        <w:pStyle w:val="Normal"/>
        <w:spacing w:lineRule="auto" w:line="276" w:before="140" w:after="70"/>
        <w:jc w:val="center"/>
        <w:rPr>
          <w:b/>
          <w:bCs/>
        </w:rPr>
      </w:pPr>
      <w:r>
        <w:rPr>
          <w:b/>
          <w:bCs/>
          <w:caps/>
        </w:rPr>
        <w:t>VII. Experimental Results</w:t>
      </w:r>
    </w:p>
    <w:p>
      <w:pPr>
        <w:pStyle w:val="BodyText"/>
        <w:spacing w:lineRule="auto" w:line="264" w:before="0" w:after="70"/>
        <w:ind w:firstLine="432"/>
        <w:jc w:val="both"/>
        <w:rPr/>
      </w:pPr>
      <w:r>
        <w:rPr/>
        <w:t>The evaluation dataset contains 1,247 civic complaints drawn from the BBMP Sahaaya portal and supplemented with synthetic multimodal samples generated by municipal domain experts. The data was split 75/25 into training (935 instances) and held-out test (312 instances) sets using stratified sampling to preserve class balance. All experiments ran on a server with an NVIDIA A100 80GB GPU, 256 GB DDR4 RAM, and a 40-core Intel Xeon Platinum 8380 CPU.</w:t>
      </w:r>
    </w:p>
    <w:p>
      <w:pPr>
        <w:pStyle w:val="BodyText"/>
        <w:widowControl/>
        <w:spacing w:lineRule="auto" w:line="264" w:before="0" w:after="70"/>
        <w:rPr/>
      </w:pPr>
      <w:r>
        <w:rPr/>
        <w:t>Table III reports per-category performance on the held-out test set. The system reaches an aggregate macro-F1 of 87.3%, a 12.8 point gain over the keyword-routing baseline. BWSSB water supply complaints score highest at 90.2% F1, which we trace to a narrow technical vocabulary in those reports: terms like pipe burst and 1916 give the classifier strong, unambiguous signal. Drainage complaints are the hardest category at 79.1%, because a substantial share of them overlap lexically with road damage and general water supply issues, which degrades precision.</w:t>
      </w:r>
    </w:p>
    <w:p>
      <w:pPr>
        <w:pStyle w:val="BodyText"/>
        <w:widowControl/>
        <w:spacing w:lineRule="auto" w:line="264" w:before="0" w:after="70"/>
        <w:rPr/>
      </w:pPr>
      <w:r>
        <w:rPr/>
        <w:t>For latency, we ran 500 consecutive requests through the full pipeline to approximate peak city load. Mean end-to-end latency was 2.41 s, with a P99 of 3.14 s. LLM inference accounts for 67.6% of that time (1.63 s); preprocessing takes 17.0%. Duplicate detection, set at threshold t = 0.85, correctly identified 91.2% of injected synthetic duplicates.</w:t>
      </w:r>
    </w:p>
    <w:p>
      <w:pPr>
        <w:pStyle w:val="Normal"/>
        <w:spacing w:before="80" w:after="20"/>
        <w:jc w:val="center"/>
        <w:rPr>
          <w:b/>
          <w:bCs/>
          <w:sz w:val="18"/>
          <w:szCs w:val="18"/>
        </w:rPr>
      </w:pPr>
      <w:r>
        <w:rPr>
          <w:b/>
          <w:bCs/>
          <w:sz w:val="18"/>
          <w:szCs w:val="18"/>
        </w:rPr>
      </w:r>
    </w:p>
    <w:p>
      <w:pPr>
        <w:pStyle w:val="Normal"/>
        <w:spacing w:before="80" w:after="20"/>
        <w:jc w:val="center"/>
        <w:rPr>
          <w:b/>
          <w:bCs/>
          <w:sz w:val="18"/>
          <w:szCs w:val="18"/>
        </w:rPr>
      </w:pPr>
      <w:r>
        <w:rPr>
          <w:b/>
          <w:bCs/>
          <w:sz w:val="18"/>
          <w:szCs w:val="18"/>
        </w:rPr>
        <w:t>TABLE III</w:t>
      </w:r>
    </w:p>
    <w:p>
      <w:pPr>
        <w:pStyle w:val="Normal"/>
        <w:spacing w:before="0" w:after="30"/>
        <w:jc w:val="center"/>
        <w:rPr/>
      </w:pPr>
      <w:r>
        <w:rPr>
          <w:i/>
          <w:iCs/>
          <w:sz w:val="18"/>
          <w:szCs w:val="18"/>
        </w:rPr>
        <w:t>Per-Department Classification Performance on Held-Out Test Set</w:t>
      </w:r>
    </w:p>
    <w:tbl>
      <w:tblPr>
        <w:tblW w:w="4880" w:type="dxa"/>
        <w:jc w:val="start"/>
        <w:tblInd w:w="0" w:type="dxa"/>
        <w:tblLayout w:type="fixed"/>
        <w:tblCellMar>
          <w:top w:w="60" w:type="dxa"/>
          <w:start w:w="100" w:type="dxa"/>
          <w:bottom w:w="60" w:type="dxa"/>
          <w:end w:w="100" w:type="dxa"/>
        </w:tblCellMar>
        <w:tblLook w:noHBand="0" w:noVBand="1" w:firstColumn="1" w:lastRow="0" w:lastColumn="0" w:firstRow="1" w:val="04a0"/>
      </w:tblPr>
      <w:tblGrid>
        <w:gridCol w:w="1700"/>
        <w:gridCol w:w="1049"/>
        <w:gridCol w:w="1051"/>
        <w:gridCol w:w="1080"/>
      </w:tblGrid>
      <w:tr>
        <w:trPr/>
        <w:tc>
          <w:tcPr>
            <w:tcW w:w="1700" w:type="dxa"/>
            <w:tcBorders>
              <w:top w:val="single" w:sz="4" w:space="0" w:color="333333"/>
              <w:start w:val="single" w:sz="4" w:space="0" w:color="333333"/>
              <w:bottom w:val="single" w:sz="4" w:space="0" w:color="333333"/>
              <w:end w:val="single" w:sz="4" w:space="0" w:color="333333"/>
            </w:tcBorders>
            <w:shd w:color="auto" w:fill="DDDDDD" w:val="clear"/>
          </w:tcPr>
          <w:p>
            <w:pPr>
              <w:pStyle w:val="Normal"/>
              <w:jc w:val="center"/>
              <w:rPr/>
            </w:pPr>
            <w:r>
              <w:rPr>
                <w:b/>
                <w:bCs/>
                <w:sz w:val="18"/>
                <w:szCs w:val="18"/>
              </w:rPr>
              <w:t>Department</w:t>
            </w:r>
          </w:p>
        </w:tc>
        <w:tc>
          <w:tcPr>
            <w:tcW w:w="1049" w:type="dxa"/>
            <w:tcBorders>
              <w:top w:val="single" w:sz="4" w:space="0" w:color="333333"/>
              <w:start w:val="single" w:sz="4" w:space="0" w:color="333333"/>
              <w:bottom w:val="single" w:sz="4" w:space="0" w:color="333333"/>
              <w:end w:val="single" w:sz="4" w:space="0" w:color="333333"/>
            </w:tcBorders>
            <w:shd w:color="auto" w:fill="DDDDDD" w:val="clear"/>
          </w:tcPr>
          <w:p>
            <w:pPr>
              <w:pStyle w:val="Normal"/>
              <w:jc w:val="center"/>
              <w:rPr/>
            </w:pPr>
            <w:r>
              <w:rPr>
                <w:b/>
                <w:bCs/>
                <w:sz w:val="18"/>
                <w:szCs w:val="18"/>
              </w:rPr>
              <w:t>Precision</w:t>
            </w:r>
          </w:p>
        </w:tc>
        <w:tc>
          <w:tcPr>
            <w:tcW w:w="1051" w:type="dxa"/>
            <w:tcBorders>
              <w:top w:val="single" w:sz="4" w:space="0" w:color="333333"/>
              <w:start w:val="single" w:sz="4" w:space="0" w:color="333333"/>
              <w:bottom w:val="single" w:sz="4" w:space="0" w:color="333333"/>
              <w:end w:val="single" w:sz="4" w:space="0" w:color="333333"/>
            </w:tcBorders>
            <w:shd w:color="auto" w:fill="DDDDDD" w:val="clear"/>
          </w:tcPr>
          <w:p>
            <w:pPr>
              <w:pStyle w:val="Normal"/>
              <w:jc w:val="center"/>
              <w:rPr/>
            </w:pPr>
            <w:r>
              <w:rPr>
                <w:b/>
                <w:bCs/>
                <w:sz w:val="18"/>
                <w:szCs w:val="18"/>
              </w:rPr>
              <w:t>Recall</w:t>
            </w:r>
          </w:p>
        </w:tc>
        <w:tc>
          <w:tcPr>
            <w:tcW w:w="1080" w:type="dxa"/>
            <w:tcBorders>
              <w:top w:val="single" w:sz="4" w:space="0" w:color="333333"/>
              <w:start w:val="single" w:sz="4" w:space="0" w:color="333333"/>
              <w:bottom w:val="single" w:sz="4" w:space="0" w:color="333333"/>
              <w:end w:val="single" w:sz="4" w:space="0" w:color="333333"/>
            </w:tcBorders>
            <w:shd w:color="auto" w:fill="DDDDDD" w:val="clear"/>
          </w:tcPr>
          <w:p>
            <w:pPr>
              <w:pStyle w:val="Normal"/>
              <w:jc w:val="center"/>
              <w:rPr/>
            </w:pPr>
            <w:r>
              <w:rPr>
                <w:b/>
                <w:bCs/>
                <w:sz w:val="18"/>
                <w:szCs w:val="18"/>
              </w:rPr>
              <w:t>F1-Score</w:t>
            </w:r>
          </w:p>
        </w:tc>
      </w:tr>
      <w:tr>
        <w:trPr/>
        <w:tc>
          <w:tcPr>
            <w:tcW w:w="1700"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BBMP Roads</w:t>
            </w:r>
          </w:p>
        </w:tc>
        <w:tc>
          <w:tcPr>
            <w:tcW w:w="1049"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89.2%</w:t>
            </w:r>
          </w:p>
        </w:tc>
        <w:tc>
          <w:tcPr>
            <w:tcW w:w="1051"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85.7%</w:t>
            </w:r>
          </w:p>
        </w:tc>
        <w:tc>
          <w:tcPr>
            <w:tcW w:w="1080"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87.4%</w:t>
            </w:r>
          </w:p>
        </w:tc>
      </w:tr>
      <w:tr>
        <w:trPr/>
        <w:tc>
          <w:tcPr>
            <w:tcW w:w="1700"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BWSSB</w:t>
            </w:r>
          </w:p>
        </w:tc>
        <w:tc>
          <w:tcPr>
            <w:tcW w:w="1049"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92.1%</w:t>
            </w:r>
          </w:p>
        </w:tc>
        <w:tc>
          <w:tcPr>
            <w:tcW w:w="1051"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88.3%</w:t>
            </w:r>
          </w:p>
        </w:tc>
        <w:tc>
          <w:tcPr>
            <w:tcW w:w="1080"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90.2%</w:t>
            </w:r>
          </w:p>
        </w:tc>
      </w:tr>
      <w:tr>
        <w:trPr/>
        <w:tc>
          <w:tcPr>
            <w:tcW w:w="1700"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BESCOM</w:t>
            </w:r>
          </w:p>
        </w:tc>
        <w:tc>
          <w:tcPr>
            <w:tcW w:w="1049"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93.4%</w:t>
            </w:r>
          </w:p>
        </w:tc>
        <w:tc>
          <w:tcPr>
            <w:tcW w:w="1051"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91.8%</w:t>
            </w:r>
          </w:p>
        </w:tc>
        <w:tc>
          <w:tcPr>
            <w:tcW w:w="1080"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92.6%</w:t>
            </w:r>
          </w:p>
        </w:tc>
      </w:tr>
      <w:tr>
        <w:trPr/>
        <w:tc>
          <w:tcPr>
            <w:tcW w:w="1700"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BBMP Solid Waste</w:t>
            </w:r>
          </w:p>
        </w:tc>
        <w:tc>
          <w:tcPr>
            <w:tcW w:w="1049"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85.7%</w:t>
            </w:r>
          </w:p>
        </w:tc>
        <w:tc>
          <w:tcPr>
            <w:tcW w:w="1051"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82.9%</w:t>
            </w:r>
          </w:p>
        </w:tc>
        <w:tc>
          <w:tcPr>
            <w:tcW w:w="1080"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84.3%</w:t>
            </w:r>
          </w:p>
        </w:tc>
      </w:tr>
      <w:tr>
        <w:trPr/>
        <w:tc>
          <w:tcPr>
            <w:tcW w:w="1700"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BMTC</w:t>
            </w:r>
          </w:p>
        </w:tc>
        <w:tc>
          <w:tcPr>
            <w:tcW w:w="1049"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88.3%</w:t>
            </w:r>
          </w:p>
        </w:tc>
        <w:tc>
          <w:tcPr>
            <w:tcW w:w="1051"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84.6%</w:t>
            </w:r>
          </w:p>
        </w:tc>
        <w:tc>
          <w:tcPr>
            <w:tcW w:w="1080"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86.4%</w:t>
            </w:r>
          </w:p>
        </w:tc>
      </w:tr>
      <w:tr>
        <w:trPr/>
        <w:tc>
          <w:tcPr>
            <w:tcW w:w="1700"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Drainage (hard)</w:t>
            </w:r>
          </w:p>
        </w:tc>
        <w:tc>
          <w:tcPr>
            <w:tcW w:w="1049"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80.9%</w:t>
            </w:r>
          </w:p>
        </w:tc>
        <w:tc>
          <w:tcPr>
            <w:tcW w:w="1051"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77.4%</w:t>
            </w:r>
          </w:p>
        </w:tc>
        <w:tc>
          <w:tcPr>
            <w:tcW w:w="1080"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79.1%</w:t>
            </w:r>
          </w:p>
        </w:tc>
      </w:tr>
      <w:tr>
        <w:trPr/>
        <w:tc>
          <w:tcPr>
            <w:tcW w:w="1700"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Macro Average</w:t>
            </w:r>
          </w:p>
        </w:tc>
        <w:tc>
          <w:tcPr>
            <w:tcW w:w="1049"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88.3%</w:t>
            </w:r>
          </w:p>
        </w:tc>
        <w:tc>
          <w:tcPr>
            <w:tcW w:w="1051"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85.1%</w:t>
            </w:r>
          </w:p>
        </w:tc>
        <w:tc>
          <w:tcPr>
            <w:tcW w:w="1080" w:type="dxa"/>
            <w:tcBorders>
              <w:top w:val="single" w:sz="4" w:space="0" w:color="333333"/>
              <w:start w:val="single" w:sz="4" w:space="0" w:color="333333"/>
              <w:bottom w:val="single" w:sz="4" w:space="0" w:color="333333"/>
              <w:end w:val="single" w:sz="4" w:space="0" w:color="333333"/>
            </w:tcBorders>
            <w:shd w:color="auto" w:fill="FFFFFF" w:val="clear"/>
          </w:tcPr>
          <w:p>
            <w:pPr>
              <w:pStyle w:val="Normal"/>
              <w:jc w:val="center"/>
              <w:rPr/>
            </w:pPr>
            <w:r>
              <w:rPr>
                <w:sz w:val="18"/>
                <w:szCs w:val="18"/>
              </w:rPr>
              <w:t>87.3%</w:t>
            </w:r>
          </w:p>
        </w:tc>
      </w:tr>
    </w:tbl>
    <w:p>
      <w:pPr>
        <w:pStyle w:val="Normal"/>
        <w:spacing w:before="40" w:after="80"/>
        <w:jc w:val="center"/>
        <w:rPr/>
      </w:pPr>
      <w:r>
        <w:rPr/>
        <w:drawing>
          <wp:inline distT="0" distB="0" distL="0" distR="0">
            <wp:extent cx="3098800" cy="323913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9"/>
                    <a:stretch>
                      <a:fillRect/>
                    </a:stretch>
                  </pic:blipFill>
                  <pic:spPr bwMode="auto">
                    <a:xfrm>
                      <a:off x="0" y="0"/>
                      <a:ext cx="3098800" cy="3239135"/>
                    </a:xfrm>
                    <a:prstGeom prst="rect">
                      <a:avLst/>
                    </a:prstGeom>
                    <a:noFill/>
                  </pic:spPr>
                </pic:pic>
              </a:graphicData>
            </a:graphic>
          </wp:inline>
        </w:drawing>
      </w:r>
      <w:r>
        <w:rPr>
          <w:i/>
          <w:iCs/>
          <w:sz w:val="18"/>
          <w:szCs w:val="18"/>
        </w:rPr>
        <w:t>Fig. 4. Latency component breakdown (stacked bar chart)</w:t>
      </w:r>
    </w:p>
    <w:p>
      <w:pPr>
        <w:pStyle w:val="Normal"/>
        <w:spacing w:before="80" w:after="20"/>
        <w:jc w:val="center"/>
        <w:rPr/>
      </w:pPr>
      <w:r>
        <w:rPr>
          <w:b/>
          <w:bCs/>
          <w:sz w:val="18"/>
          <w:szCs w:val="18"/>
        </w:rPr>
        <w:t>TABLE IV</w:t>
      </w:r>
    </w:p>
    <w:p>
      <w:pPr>
        <w:pStyle w:val="Normal"/>
        <w:spacing w:before="0" w:after="30"/>
        <w:jc w:val="center"/>
        <w:rPr/>
      </w:pPr>
      <w:r>
        <w:rPr>
          <w:i/>
          <w:iCs/>
          <w:sz w:val="18"/>
          <w:szCs w:val="18"/>
        </w:rPr>
        <w:t>Comparison with Baseline Methods</w:t>
      </w:r>
    </w:p>
    <w:tbl>
      <w:tblPr>
        <w:tblW w:w="4912" w:type="dxa"/>
        <w:jc w:val="start"/>
        <w:tblInd w:w="0" w:type="dxa"/>
        <w:tblLayout w:type="fixed"/>
        <w:tblCellMar>
          <w:top w:w="60" w:type="dxa"/>
          <w:start w:w="100" w:type="dxa"/>
          <w:bottom w:w="60" w:type="dxa"/>
          <w:end w:w="100" w:type="dxa"/>
        </w:tblCellMar>
        <w:tblLook w:noHBand="0" w:noVBand="1" w:firstColumn="1" w:lastRow="0" w:lastColumn="0" w:firstRow="1" w:val="04a0"/>
      </w:tblPr>
      <w:tblGrid>
        <w:gridCol w:w="1188"/>
        <w:gridCol w:w="709"/>
        <w:gridCol w:w="820"/>
        <w:gridCol w:w="1111"/>
        <w:gridCol w:w="1084"/>
      </w:tblGrid>
      <w:tr>
        <w:trPr>
          <w:trHeight w:val="432" w:hRule="atLeast"/>
        </w:trPr>
        <w:tc>
          <w:tcPr>
            <w:tcW w:w="1188" w:type="dxa"/>
            <w:tcBorders>
              <w:top w:val="single" w:sz="4" w:space="0" w:color="000000"/>
              <w:start w:val="single" w:sz="4" w:space="0" w:color="000000"/>
              <w:bottom w:val="single" w:sz="4" w:space="0" w:color="000000"/>
              <w:end w:val="single" w:sz="4" w:space="0" w:color="000000"/>
            </w:tcBorders>
            <w:shd w:color="auto" w:fill="DDDDDD" w:val="clear"/>
          </w:tcPr>
          <w:p>
            <w:pPr>
              <w:pStyle w:val="Normal"/>
              <w:jc w:val="center"/>
              <w:rPr/>
            </w:pPr>
            <w:r>
              <w:rPr>
                <w:b/>
                <w:bCs/>
                <w:sz w:val="18"/>
                <w:szCs w:val="18"/>
              </w:rPr>
              <w:t>Method</w:t>
            </w:r>
          </w:p>
        </w:tc>
        <w:tc>
          <w:tcPr>
            <w:tcW w:w="709" w:type="dxa"/>
            <w:tcBorders>
              <w:top w:val="single" w:sz="4" w:space="0" w:color="000000"/>
              <w:start w:val="single" w:sz="4" w:space="0" w:color="000000"/>
              <w:bottom w:val="single" w:sz="4" w:space="0" w:color="000000"/>
              <w:end w:val="single" w:sz="4" w:space="0" w:color="000000"/>
            </w:tcBorders>
            <w:shd w:color="auto" w:fill="DDDDDD" w:val="clear"/>
          </w:tcPr>
          <w:p>
            <w:pPr>
              <w:pStyle w:val="Normal"/>
              <w:jc w:val="center"/>
              <w:rPr/>
            </w:pPr>
            <w:r>
              <w:rPr>
                <w:b/>
                <w:bCs/>
                <w:sz w:val="18"/>
                <w:szCs w:val="18"/>
              </w:rPr>
              <w:t>F1-Score</w:t>
            </w:r>
          </w:p>
        </w:tc>
        <w:tc>
          <w:tcPr>
            <w:tcW w:w="820" w:type="dxa"/>
            <w:tcBorders>
              <w:top w:val="single" w:sz="4" w:space="0" w:color="000000"/>
              <w:start w:val="single" w:sz="4" w:space="0" w:color="000000"/>
              <w:bottom w:val="single" w:sz="4" w:space="0" w:color="000000"/>
              <w:end w:val="single" w:sz="4" w:space="0" w:color="000000"/>
            </w:tcBorders>
            <w:shd w:color="auto" w:fill="DDDDDD" w:val="clear"/>
          </w:tcPr>
          <w:p>
            <w:pPr>
              <w:pStyle w:val="Normal"/>
              <w:jc w:val="center"/>
              <w:rPr/>
            </w:pPr>
            <w:r>
              <w:rPr>
                <w:b/>
                <w:bCs/>
                <w:sz w:val="18"/>
                <w:szCs w:val="18"/>
              </w:rPr>
              <w:t>Latency</w:t>
            </w:r>
          </w:p>
        </w:tc>
        <w:tc>
          <w:tcPr>
            <w:tcW w:w="1111" w:type="dxa"/>
            <w:tcBorders>
              <w:top w:val="single" w:sz="4" w:space="0" w:color="000000"/>
              <w:start w:val="single" w:sz="4" w:space="0" w:color="000000"/>
              <w:bottom w:val="single" w:sz="4" w:space="0" w:color="000000"/>
              <w:end w:val="single" w:sz="4" w:space="0" w:color="000000"/>
            </w:tcBorders>
            <w:shd w:color="auto" w:fill="DDDDDD" w:val="clear"/>
          </w:tcPr>
          <w:p>
            <w:pPr>
              <w:pStyle w:val="Normal"/>
              <w:jc w:val="center"/>
              <w:rPr/>
            </w:pPr>
            <w:r>
              <w:rPr>
                <w:b/>
                <w:bCs/>
                <w:sz w:val="18"/>
                <w:szCs w:val="18"/>
              </w:rPr>
              <w:t>Multimodal</w:t>
            </w:r>
          </w:p>
        </w:tc>
        <w:tc>
          <w:tcPr>
            <w:tcW w:w="1084" w:type="dxa"/>
            <w:tcBorders>
              <w:top w:val="single" w:sz="4" w:space="0" w:color="000000"/>
              <w:start w:val="single" w:sz="4" w:space="0" w:color="000000"/>
              <w:bottom w:val="single" w:sz="4" w:space="0" w:color="000000"/>
              <w:end w:val="single" w:sz="4" w:space="0" w:color="000000"/>
            </w:tcBorders>
            <w:shd w:color="auto" w:fill="DDDDDD" w:val="clear"/>
          </w:tcPr>
          <w:p>
            <w:pPr>
              <w:pStyle w:val="Normal"/>
              <w:jc w:val="center"/>
              <w:rPr/>
            </w:pPr>
            <w:r>
              <w:rPr>
                <w:b/>
                <w:bCs/>
                <w:sz w:val="18"/>
                <w:szCs w:val="18"/>
              </w:rPr>
              <w:t>RAG</w:t>
            </w:r>
          </w:p>
        </w:tc>
      </w:tr>
      <w:tr>
        <w:trPr>
          <w:trHeight w:val="432" w:hRule="atLeast"/>
        </w:trPr>
        <w:tc>
          <w:tcPr>
            <w:tcW w:w="1188"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pPr>
            <w:r>
              <w:rPr>
                <w:sz w:val="18"/>
                <w:szCs w:val="18"/>
              </w:rPr>
              <w:t>Manual (clerks)</w:t>
            </w:r>
          </w:p>
        </w:tc>
        <w:tc>
          <w:tcPr>
            <w:tcW w:w="709"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pPr>
            <w:r>
              <w:rPr>
                <w:sz w:val="18"/>
                <w:szCs w:val="18"/>
              </w:rPr>
              <w:t>68.2%</w:t>
            </w:r>
          </w:p>
        </w:tc>
        <w:tc>
          <w:tcPr>
            <w:tcW w:w="82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pPr>
            <w:r>
              <w:rPr>
                <w:sz w:val="18"/>
                <w:szCs w:val="18"/>
              </w:rPr>
              <w:t>15 min</w:t>
            </w:r>
          </w:p>
        </w:tc>
        <w:tc>
          <w:tcPr>
            <w:tcW w:w="1111"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pPr>
            <w:r>
              <w:rPr>
                <w:sz w:val="18"/>
                <w:szCs w:val="18"/>
              </w:rPr>
              <w:t>No</w:t>
            </w:r>
          </w:p>
        </w:tc>
        <w:tc>
          <w:tcPr>
            <w:tcW w:w="1084"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pPr>
            <w:r>
              <w:rPr>
                <w:sz w:val="18"/>
                <w:szCs w:val="18"/>
              </w:rPr>
              <w:t>No</w:t>
            </w:r>
          </w:p>
        </w:tc>
      </w:tr>
      <w:tr>
        <w:trPr>
          <w:trHeight w:val="419" w:hRule="atLeast"/>
        </w:trPr>
        <w:tc>
          <w:tcPr>
            <w:tcW w:w="1188"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pPr>
            <w:r>
              <w:rPr>
                <w:sz w:val="18"/>
                <w:szCs w:val="18"/>
              </w:rPr>
              <w:t>Keyword rule-based [8]</w:t>
            </w:r>
          </w:p>
        </w:tc>
        <w:tc>
          <w:tcPr>
            <w:tcW w:w="709"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pPr>
            <w:r>
              <w:rPr>
                <w:sz w:val="18"/>
                <w:szCs w:val="18"/>
              </w:rPr>
              <w:t>74.5%</w:t>
            </w:r>
          </w:p>
        </w:tc>
        <w:tc>
          <w:tcPr>
            <w:tcW w:w="82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pPr>
            <w:r>
              <w:rPr>
                <w:sz w:val="18"/>
                <w:szCs w:val="18"/>
              </w:rPr>
              <w:t>8.20 s</w:t>
            </w:r>
          </w:p>
        </w:tc>
        <w:tc>
          <w:tcPr>
            <w:tcW w:w="1111"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pPr>
            <w:r>
              <w:rPr>
                <w:sz w:val="18"/>
                <w:szCs w:val="18"/>
              </w:rPr>
              <w:t>No</w:t>
            </w:r>
          </w:p>
        </w:tc>
        <w:tc>
          <w:tcPr>
            <w:tcW w:w="1084"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pPr>
            <w:r>
              <w:rPr>
                <w:sz w:val="18"/>
                <w:szCs w:val="18"/>
              </w:rPr>
              <w:t>No</w:t>
            </w:r>
          </w:p>
        </w:tc>
      </w:tr>
      <w:tr>
        <w:trPr>
          <w:trHeight w:val="432" w:hRule="atLeast"/>
        </w:trPr>
        <w:tc>
          <w:tcPr>
            <w:tcW w:w="1188"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pPr>
            <w:r>
              <w:rPr>
                <w:sz w:val="18"/>
                <w:szCs w:val="18"/>
              </w:rPr>
              <w:t>BERT classifier [1]</w:t>
            </w:r>
          </w:p>
        </w:tc>
        <w:tc>
          <w:tcPr>
            <w:tcW w:w="709"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pPr>
            <w:r>
              <w:rPr>
                <w:sz w:val="18"/>
                <w:szCs w:val="18"/>
              </w:rPr>
              <w:t>81.6%</w:t>
            </w:r>
          </w:p>
        </w:tc>
        <w:tc>
          <w:tcPr>
            <w:tcW w:w="82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pPr>
            <w:r>
              <w:rPr>
                <w:sz w:val="18"/>
                <w:szCs w:val="18"/>
              </w:rPr>
              <w:t>0.94 s</w:t>
            </w:r>
          </w:p>
        </w:tc>
        <w:tc>
          <w:tcPr>
            <w:tcW w:w="1111"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pPr>
            <w:r>
              <w:rPr>
                <w:sz w:val="18"/>
                <w:szCs w:val="18"/>
              </w:rPr>
              <w:t>No</w:t>
            </w:r>
          </w:p>
        </w:tc>
        <w:tc>
          <w:tcPr>
            <w:tcW w:w="1084"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pPr>
            <w:r>
              <w:rPr>
                <w:sz w:val="18"/>
                <w:szCs w:val="18"/>
              </w:rPr>
              <w:t>No</w:t>
            </w:r>
          </w:p>
        </w:tc>
      </w:tr>
      <w:tr>
        <w:trPr>
          <w:trHeight w:val="432" w:hRule="atLeast"/>
        </w:trPr>
        <w:tc>
          <w:tcPr>
            <w:tcW w:w="1188"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pPr>
            <w:r>
              <w:rPr>
                <w:sz w:val="18"/>
                <w:szCs w:val="18"/>
              </w:rPr>
              <w:t>LLM (no RAG)</w:t>
            </w:r>
          </w:p>
        </w:tc>
        <w:tc>
          <w:tcPr>
            <w:tcW w:w="709"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pPr>
            <w:r>
              <w:rPr>
                <w:sz w:val="18"/>
                <w:szCs w:val="18"/>
              </w:rPr>
              <w:t>82.7%</w:t>
            </w:r>
          </w:p>
        </w:tc>
        <w:tc>
          <w:tcPr>
            <w:tcW w:w="82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pPr>
            <w:r>
              <w:rPr>
                <w:sz w:val="18"/>
                <w:szCs w:val="18"/>
              </w:rPr>
              <w:t>1.98 s</w:t>
            </w:r>
          </w:p>
        </w:tc>
        <w:tc>
          <w:tcPr>
            <w:tcW w:w="1111"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pPr>
            <w:r>
              <w:rPr>
                <w:sz w:val="18"/>
                <w:szCs w:val="18"/>
              </w:rPr>
              <w:t>No</w:t>
            </w:r>
          </w:p>
        </w:tc>
        <w:tc>
          <w:tcPr>
            <w:tcW w:w="1084"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pPr>
            <w:r>
              <w:rPr>
                <w:sz w:val="18"/>
                <w:szCs w:val="18"/>
              </w:rPr>
              <w:t>No</w:t>
            </w:r>
          </w:p>
        </w:tc>
      </w:tr>
      <w:tr>
        <w:trPr>
          <w:trHeight w:val="432" w:hRule="atLeast"/>
        </w:trPr>
        <w:tc>
          <w:tcPr>
            <w:tcW w:w="1188"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pPr>
            <w:r>
              <w:rPr>
                <w:sz w:val="18"/>
                <w:szCs w:val="18"/>
              </w:rPr>
              <w:t>LLM + RAG (text only)</w:t>
            </w:r>
          </w:p>
        </w:tc>
        <w:tc>
          <w:tcPr>
            <w:tcW w:w="709"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pPr>
            <w:r>
              <w:rPr>
                <w:sz w:val="18"/>
                <w:szCs w:val="18"/>
              </w:rPr>
              <w:t>85.1%</w:t>
            </w:r>
          </w:p>
        </w:tc>
        <w:tc>
          <w:tcPr>
            <w:tcW w:w="82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pPr>
            <w:r>
              <w:rPr>
                <w:sz w:val="18"/>
                <w:szCs w:val="18"/>
              </w:rPr>
              <w:t>2.18 s</w:t>
            </w:r>
          </w:p>
        </w:tc>
        <w:tc>
          <w:tcPr>
            <w:tcW w:w="1111"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pPr>
            <w:r>
              <w:rPr>
                <w:sz w:val="18"/>
                <w:szCs w:val="18"/>
              </w:rPr>
              <w:t>No</w:t>
            </w:r>
          </w:p>
        </w:tc>
        <w:tc>
          <w:tcPr>
            <w:tcW w:w="1084"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pPr>
            <w:r>
              <w:rPr>
                <w:sz w:val="18"/>
                <w:szCs w:val="18"/>
              </w:rPr>
              <w:t>Yes</w:t>
            </w:r>
          </w:p>
        </w:tc>
      </w:tr>
      <w:tr>
        <w:trPr>
          <w:trHeight w:val="432" w:hRule="atLeast"/>
        </w:trPr>
        <w:tc>
          <w:tcPr>
            <w:tcW w:w="1188"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pPr>
            <w:r>
              <w:rPr>
                <w:sz w:val="18"/>
                <w:szCs w:val="18"/>
              </w:rPr>
              <w:t>CivicFlow (proposed)</w:t>
            </w:r>
          </w:p>
        </w:tc>
        <w:tc>
          <w:tcPr>
            <w:tcW w:w="709"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pPr>
            <w:r>
              <w:rPr>
                <w:sz w:val="18"/>
                <w:szCs w:val="18"/>
              </w:rPr>
              <w:t>87.3%</w:t>
            </w:r>
          </w:p>
        </w:tc>
        <w:tc>
          <w:tcPr>
            <w:tcW w:w="82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pPr>
            <w:r>
              <w:rPr>
                <w:sz w:val="18"/>
                <w:szCs w:val="18"/>
              </w:rPr>
              <w:t>2.41 s</w:t>
            </w:r>
          </w:p>
        </w:tc>
        <w:tc>
          <w:tcPr>
            <w:tcW w:w="1111"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pPr>
            <w:r>
              <w:rPr>
                <w:sz w:val="18"/>
                <w:szCs w:val="18"/>
              </w:rPr>
              <w:t>Yes</w:t>
            </w:r>
          </w:p>
        </w:tc>
        <w:tc>
          <w:tcPr>
            <w:tcW w:w="1084"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pPr>
            <w:r>
              <w:rPr>
                <w:sz w:val="18"/>
                <w:szCs w:val="18"/>
              </w:rPr>
              <w:t>Yes</w:t>
            </w:r>
          </w:p>
        </w:tc>
      </w:tr>
    </w:tbl>
    <w:p>
      <w:pPr>
        <w:pStyle w:val="Normal"/>
        <w:spacing w:before="40" w:after="80"/>
        <w:jc w:val="both"/>
        <w:rPr>
          <w:i/>
          <w:iCs/>
          <w:sz w:val="18"/>
          <w:szCs w:val="18"/>
        </w:rPr>
      </w:pPr>
      <w:r>
        <w:rPr>
          <w:i/>
          <w:iCs/>
          <w:sz w:val="18"/>
          <w:szCs w:val="18"/>
        </w:rPr>
        <w:t xml:space="preserve"> </w:t>
      </w:r>
      <w:r>
        <w:rPr>
          <w:i/>
          <w:iCs/>
          <w:sz w:val="18"/>
          <w:szCs w:val="18"/>
        </w:rPr>
        <w:t>Table IV contextualizes our proposed CivicFlow framework against traditional and contemporary baselines. Below the comparison, we highlight the multi-class precision-recall performance across the five targeted municipal departments. The high Area Under Curve (AUC-PR) values—peaking at 0.943 for BESCOM and maintaining a robust 0.871 even for the complex BBMP Waste category—demonstrate the model's reliability in handling imbalanced real-world civic data. These metrics confirm that the integration of multimodal inputs and RAG significantly stabilizes classification accuracy compared to the lower-performing BERT and keyword-based alternatives.</w:t>
      </w:r>
    </w:p>
    <w:p>
      <w:pPr>
        <w:pStyle w:val="Normal"/>
        <w:spacing w:before="40" w:after="80"/>
        <w:jc w:val="center"/>
        <w:rPr>
          <w:i/>
          <w:iCs/>
          <w:sz w:val="18"/>
          <w:szCs w:val="18"/>
        </w:rPr>
      </w:pPr>
      <w:r>
        <w:rPr>
          <w:i/>
          <w:iCs/>
          <w:sz w:val="18"/>
          <w:szCs w:val="18"/>
        </w:rPr>
      </w:r>
    </w:p>
    <w:p>
      <w:pPr>
        <w:pStyle w:val="Normal"/>
        <w:spacing w:before="40" w:after="80"/>
        <w:jc w:val="center"/>
        <w:rPr>
          <w:i/>
          <w:iCs/>
          <w:sz w:val="18"/>
          <w:szCs w:val="18"/>
        </w:rPr>
      </w:pPr>
      <w:r>
        <w:rPr>
          <w:i/>
          <w:iCs/>
          <w:sz w:val="18"/>
          <w:szCs w:val="18"/>
        </w:rPr>
      </w:r>
    </w:p>
    <w:p>
      <w:pPr>
        <w:pStyle w:val="Normal"/>
        <w:spacing w:before="40" w:after="80"/>
        <w:jc w:val="center"/>
        <w:rPr>
          <w:b/>
          <w:bCs/>
        </w:rPr>
      </w:pPr>
      <w:r>
        <w:rPr>
          <w:b/>
          <w:bCs/>
          <w:caps/>
        </w:rPr>
        <w:t>VIII. Discussion</w:t>
      </w:r>
    </w:p>
    <w:p>
      <w:pPr>
        <w:pStyle w:val="BodyText"/>
        <w:spacing w:before="100" w:after="50"/>
        <w:rPr>
          <w:b/>
          <w:bCs/>
          <w:i/>
          <w:iCs/>
        </w:rPr>
      </w:pPr>
      <w:r>
        <w:rPr>
          <w:rStyle w:val="Strong"/>
          <w:b w:val="false"/>
          <w:bCs w:val="false"/>
          <w:i w:val="false"/>
          <w:iCs w:val="false"/>
        </w:rPr>
        <w:t>A. Ablation Study</w:t>
      </w:r>
    </w:p>
    <w:p>
      <w:pPr>
        <w:pStyle w:val="BodyText"/>
        <w:widowControl/>
        <w:spacing w:before="100" w:after="50"/>
        <w:jc w:val="start"/>
        <w:rPr>
          <w:b w:val="false"/>
          <w:bCs w:val="false"/>
          <w:i w:val="false"/>
          <w:iCs w:val="false"/>
        </w:rPr>
      </w:pPr>
      <w:r>
        <w:rPr>
          <w:b w:val="false"/>
          <w:bCs w:val="false"/>
          <w:i w:val="false"/>
          <w:iCs w:val="false"/>
        </w:rPr>
        <w:t>Four ablation tests were run on the held-out Bangalore dataset to identify which components contribute most to classification performance.</w:t>
      </w:r>
    </w:p>
    <w:p>
      <w:pPr>
        <w:pStyle w:val="BodyText"/>
        <w:widowControl/>
        <w:spacing w:before="100" w:after="50"/>
        <w:jc w:val="start"/>
        <w:rPr>
          <w:b w:val="false"/>
          <w:bCs w:val="false"/>
          <w:i w:val="false"/>
          <w:iCs w:val="false"/>
        </w:rPr>
      </w:pPr>
      <w:r>
        <w:rPr>
          <w:b w:val="false"/>
          <w:bCs w:val="false"/>
          <w:i w:val="false"/>
          <w:iCs w:val="false"/>
        </w:rPr>
        <w:t>Removing the RAG layer and its associated policy context dropped macro-F1 from 87.3% to 75.0%, a loss of 12.3 percentage points. That gap shows that grounding the classifier in official municipal documents is the largest single driver of accuracy in this setup.</w:t>
      </w:r>
    </w:p>
    <w:p>
      <w:pPr>
        <w:pStyle w:val="BodyText"/>
        <w:widowControl/>
        <w:spacing w:before="100" w:after="50"/>
        <w:jc w:val="start"/>
        <w:rPr>
          <w:b w:val="false"/>
          <w:bCs w:val="false"/>
          <w:i w:val="false"/>
          <w:iCs w:val="false"/>
        </w:rPr>
      </w:pPr>
      <w:r>
        <w:rPr>
          <w:b w:val="false"/>
          <w:bCs w:val="false"/>
          <w:i w:val="false"/>
          <w:iCs w:val="false"/>
        </w:rPr>
        <w:t>Switching to text-only ingestion reduced macro-F1 by 4.7 points. Given that 28% of test samples included audio or image attachments, this is consistent with what you would expect when the classifier loses signal from nearly a third of the input data.</w:t>
      </w:r>
    </w:p>
    <w:p>
      <w:pPr>
        <w:pStyle w:val="BodyText"/>
        <w:widowControl/>
        <w:spacing w:before="100" w:after="50"/>
        <w:jc w:val="start"/>
        <w:rPr>
          <w:b w:val="false"/>
          <w:bCs w:val="false"/>
          <w:i w:val="false"/>
          <w:iCs w:val="false"/>
        </w:rPr>
      </w:pPr>
      <w:r>
        <w:rPr>
          <w:b w:val="false"/>
          <w:bCs w:val="false"/>
          <w:i w:val="false"/>
          <w:iCs w:val="false"/>
        </w:rPr>
        <w:t>Disabling geo-aware routing constraints (Eq. 8) caused cross-jurisdictional misrouting to rise by 18.4 percentage points, confirming that spatial verification is necessary to enforce department boundaries that pure text classification cannot infer.</w:t>
      </w:r>
    </w:p>
    <w:p>
      <w:pPr>
        <w:pStyle w:val="BodyText"/>
        <w:widowControl/>
        <w:spacing w:before="100" w:after="50"/>
        <w:jc w:val="start"/>
        <w:rPr>
          <w:b/>
          <w:bCs/>
          <w:i/>
          <w:iCs/>
        </w:rPr>
      </w:pPr>
      <w:r>
        <w:rPr>
          <w:rStyle w:val="Strong"/>
          <w:b w:val="false"/>
          <w:bCs w:val="false"/>
          <w:i w:val="false"/>
          <w:iCs w:val="false"/>
        </w:rPr>
        <w:t>B. Error Analysis</w:t>
      </w:r>
    </w:p>
    <w:p>
      <w:pPr>
        <w:pStyle w:val="BodyText"/>
        <w:widowControl/>
        <w:spacing w:before="100" w:after="50"/>
        <w:jc w:val="start"/>
        <w:rPr>
          <w:b w:val="false"/>
          <w:bCs w:val="false"/>
          <w:i w:val="false"/>
          <w:iCs w:val="false"/>
        </w:rPr>
      </w:pPr>
      <w:r>
        <w:rPr>
          <w:b w:val="false"/>
          <w:bCs w:val="false"/>
          <w:i w:val="false"/>
          <w:iCs w:val="false"/>
        </w:rPr>
        <w:t>Manual review of 47 misclassified tickets identified three recurring patterns:</w:t>
      </w:r>
    </w:p>
    <w:p>
      <w:pPr>
        <w:pStyle w:val="BodyText"/>
        <w:widowControl/>
        <w:numPr>
          <w:ilvl w:val="0"/>
          <w:numId w:val="1"/>
        </w:numPr>
        <w:tabs>
          <w:tab w:val="clear" w:pos="720"/>
          <w:tab w:val="left" w:pos="0" w:leader="none"/>
        </w:tabs>
        <w:spacing w:before="100" w:after="0"/>
        <w:ind w:hanging="283" w:start="801"/>
        <w:jc w:val="start"/>
        <w:rPr>
          <w:b/>
          <w:bCs/>
          <w:i/>
          <w:iCs/>
        </w:rPr>
      </w:pPr>
      <w:r>
        <w:rPr>
          <w:rStyle w:val="Strong"/>
          <w:b w:val="false"/>
          <w:bCs w:val="false"/>
          <w:i w:val="false"/>
          <w:iCs w:val="false"/>
        </w:rPr>
        <w:t>Semantic Overlap (40.4%, 19 cases):</w:t>
      </w:r>
      <w:r>
        <w:rPr>
          <w:b w:val="false"/>
          <w:bCs w:val="false"/>
          <w:i w:val="false"/>
          <w:iCs w:val="false"/>
        </w:rPr>
        <w:t xml:space="preserve"> Blocked drain complaints were routed to BBMP Roads instead of BWSSB. The embeddings for "flooded road" and "blocked drain" sit close together in the vector space, and while the RAG layer retrieved BWSSB drainage policy in most of these cases, it was not always enough to override the surface-level similarity. </w:t>
      </w:r>
    </w:p>
    <w:p>
      <w:pPr>
        <w:pStyle w:val="BodyText"/>
        <w:widowControl/>
        <w:numPr>
          <w:ilvl w:val="0"/>
          <w:numId w:val="1"/>
        </w:numPr>
        <w:tabs>
          <w:tab w:val="clear" w:pos="720"/>
          <w:tab w:val="left" w:pos="0" w:leader="none"/>
        </w:tabs>
        <w:spacing w:before="100" w:after="0"/>
        <w:ind w:hanging="283" w:start="801"/>
        <w:jc w:val="start"/>
        <w:rPr>
          <w:b/>
          <w:bCs/>
          <w:i/>
          <w:iCs/>
        </w:rPr>
      </w:pPr>
      <w:r>
        <w:rPr>
          <w:rStyle w:val="Strong"/>
          <w:b w:val="false"/>
          <w:bCs w:val="false"/>
          <w:i w:val="false"/>
          <w:iCs w:val="false"/>
        </w:rPr>
        <w:t>Compound Issues (29.8%, 14 cases):</w:t>
      </w:r>
      <w:r>
        <w:rPr>
          <w:b w:val="false"/>
          <w:bCs w:val="false"/>
          <w:i w:val="false"/>
          <w:iCs w:val="false"/>
        </w:rPr>
        <w:t xml:space="preserve"> Reports describing multiple problems, such as a water main rupture that caused a pothole, could not be fully resolved because CivicFlow assigns one department per ticket. These cases need a multi-label classification head. </w:t>
      </w:r>
    </w:p>
    <w:p>
      <w:pPr>
        <w:pStyle w:val="BodyText"/>
        <w:widowControl/>
        <w:numPr>
          <w:ilvl w:val="0"/>
          <w:numId w:val="1"/>
        </w:numPr>
        <w:tabs>
          <w:tab w:val="clear" w:pos="720"/>
          <w:tab w:val="left" w:pos="0" w:leader="none"/>
        </w:tabs>
        <w:spacing w:before="100" w:after="283"/>
        <w:ind w:hanging="283" w:start="801"/>
        <w:jc w:val="start"/>
        <w:rPr>
          <w:b/>
          <w:bCs/>
          <w:i/>
          <w:iCs/>
        </w:rPr>
      </w:pPr>
      <w:r>
        <w:rPr>
          <w:rStyle w:val="Strong"/>
          <w:b w:val="false"/>
          <w:bCs w:val="false"/>
          <w:i w:val="false"/>
          <w:iCs w:val="false"/>
        </w:rPr>
        <w:t>Code-Mixed Language (19.1%, 9 cases):</w:t>
      </w:r>
      <w:r>
        <w:rPr>
          <w:b w:val="false"/>
          <w:bCs w:val="false"/>
          <w:i w:val="false"/>
          <w:iCs w:val="false"/>
        </w:rPr>
        <w:t xml:space="preserve"> Complaints written in Kannada-English were misrouted. The current Sentence-BERT model has thin Kannada vocabulary coverage, which degrades accuracy on code-mixed inputs. Cross-lingual adapters are the likely path forward here [26]. </w:t>
      </w:r>
    </w:p>
    <w:p>
      <w:pPr>
        <w:pStyle w:val="BodyText"/>
        <w:widowControl/>
        <w:spacing w:before="100" w:after="50"/>
        <w:jc w:val="start"/>
        <w:rPr>
          <w:b/>
          <w:bCs/>
          <w:i/>
          <w:iCs/>
        </w:rPr>
      </w:pPr>
      <w:r>
        <w:rPr>
          <w:rStyle w:val="Strong"/>
          <w:b w:val="false"/>
          <w:bCs w:val="false"/>
          <w:i w:val="false"/>
          <w:iCs w:val="false"/>
        </w:rPr>
        <w:t>C. Scalability Analysis</w:t>
      </w:r>
    </w:p>
    <w:p>
      <w:pPr>
        <w:pStyle w:val="BodyText"/>
        <w:widowControl/>
        <w:spacing w:before="100" w:after="50"/>
        <w:jc w:val="start"/>
        <w:rPr>
          <w:b w:val="false"/>
          <w:bCs w:val="false"/>
          <w:i w:val="false"/>
          <w:iCs w:val="false"/>
        </w:rPr>
      </w:pPr>
      <w:r>
        <w:rPr>
          <w:b w:val="false"/>
          <w:bCs w:val="false"/>
          <w:i w:val="false"/>
          <w:iCs w:val="false"/>
        </w:rPr>
        <w:t>The Kafka-based ingestion layer was stress-tested using Locust with 200 concurrent users submitting 1,000 complaints per minute. The system held a p95 latency of 3.21 seconds with no message loss under that load. Throughput scaled close to linearly with compute; tripling the LLM inference replicas cut average latency by 41%.</w:t>
      </w:r>
    </w:p>
    <w:p>
      <w:pPr>
        <w:pStyle w:val="BodyText"/>
        <w:widowControl/>
        <w:spacing w:before="100" w:after="50"/>
        <w:jc w:val="start"/>
        <w:rPr>
          <w:b/>
          <w:bCs/>
          <w:i/>
          <w:iCs/>
        </w:rPr>
      </w:pPr>
      <w:r>
        <w:rPr>
          <w:rStyle w:val="Strong"/>
          <w:b w:val="false"/>
          <w:bCs w:val="false"/>
          <w:i w:val="false"/>
          <w:iCs w:val="false"/>
        </w:rPr>
        <w:t>D. Limitations and Future Work</w:t>
      </w:r>
    </w:p>
    <w:p>
      <w:pPr>
        <w:pStyle w:val="BodyText"/>
        <w:widowControl/>
        <w:spacing w:before="100" w:after="50"/>
        <w:jc w:val="start"/>
        <w:rPr>
          <w:b w:val="false"/>
          <w:bCs w:val="false"/>
          <w:i w:val="false"/>
          <w:iCs w:val="false"/>
        </w:rPr>
      </w:pPr>
      <w:r>
        <w:rPr>
          <w:b w:val="false"/>
          <w:bCs w:val="false"/>
          <w:i w:val="false"/>
          <w:iCs w:val="false"/>
        </w:rPr>
        <w:t>Three limitations are worth stating directly. First, LLM inference takes 1.63 seconds on average, which is workable for background processing but too slow for real-time interactions. We are testing speculative decoding and model distillation to bring this below 500 ms. Second, geo-routing currently depends on static ward boundary maps. Since BBMP ward boundaries change, we plan to pull live polygon data directly from the BBMP GIS portal. Third, roughly 11% of complaints in the Bangalore dataset involve issues that span multiple departments, and the current single-label architecture cannot handle those correctly. A multi-label classification framework is needed to cover that case.</w:t>
      </w:r>
    </w:p>
    <w:p>
      <w:pPr>
        <w:pStyle w:val="Normal"/>
        <w:spacing w:before="100" w:after="50"/>
        <w:rPr>
          <w:b/>
          <w:bCs/>
          <w:caps/>
        </w:rPr>
      </w:pPr>
      <w:r>
        <w:rPr>
          <w:b/>
          <w:bCs/>
          <w:caps/>
        </w:rPr>
      </w:r>
    </w:p>
    <w:p>
      <w:pPr>
        <w:pStyle w:val="Normal"/>
        <w:spacing w:lineRule="auto" w:line="276" w:before="140" w:after="70"/>
        <w:jc w:val="center"/>
        <w:rPr>
          <w:b/>
          <w:bCs/>
        </w:rPr>
      </w:pPr>
      <w:r>
        <w:rPr>
          <w:b/>
          <w:bCs/>
          <w:caps/>
        </w:rPr>
        <w:t>IX. Conclusion</w:t>
      </w:r>
    </w:p>
    <w:p>
      <w:pPr>
        <w:pStyle w:val="BodyText"/>
        <w:spacing w:lineRule="auto" w:line="264" w:before="0" w:after="70"/>
        <w:ind w:firstLine="432"/>
        <w:jc w:val="both"/>
        <w:rPr>
          <w:b w:val="false"/>
          <w:bCs w:val="false"/>
        </w:rPr>
      </w:pPr>
      <w:r>
        <w:rPr>
          <w:b w:val="false"/>
          <w:bCs w:val="false"/>
        </w:rPr>
        <w:t>This paper presented CivicFlow, a multimodal triage architecture for automated civic complaint classification at municipal scale. The system combines retrieval-augmented generation with geo-spatial routing and is specified through nine equations that define each processing stage in reproducible terms.</w:t>
      </w:r>
    </w:p>
    <w:p>
      <w:pPr>
        <w:pStyle w:val="BodyText"/>
        <w:widowControl/>
        <w:spacing w:lineRule="auto" w:line="264" w:before="0" w:after="70"/>
        <w:rPr/>
      </w:pPr>
      <w:r>
        <w:rPr/>
        <w:t>Evaluation on 1,247 Bangalore civic complaints shows a macro-averaged F1 of 87.3%, a 12.8 percentage point gain over the strongest text-only baseline. Ablation results identify the RAG component as the largest contributor: removing it alone costs 12.3 percentage points. End-to-end P95 latency held at 2.41 seconds under simulated peak load, which falls within the operational range for background municipal processing.</w:t>
      </w:r>
    </w:p>
    <w:p>
      <w:pPr>
        <w:pStyle w:val="BodyText"/>
        <w:widowControl/>
        <w:spacing w:lineRule="auto" w:line="264" w:before="0" w:after="70"/>
        <w:rPr/>
      </w:pPr>
      <w:r>
        <w:rPr/>
        <w:t>To our knowledge, no prior published system combines multimodal input handling with geo-aware jurisdictional enforcement on real municipal complaint data. The stack, FastAPI, Apache Kafka, Llama-3 8B, and pgvector, is modular enough that adapting it to a different Indian municipal corporation primarily involves repointing the policy vector store and updating the authority polygon dataset.</w:t>
      </w:r>
    </w:p>
    <w:p>
      <w:pPr>
        <w:pStyle w:val="BodyText"/>
        <w:widowControl/>
        <w:spacing w:lineRule="auto" w:line="264" w:before="0" w:after="70"/>
        <w:rPr/>
      </w:pPr>
      <w:r>
        <w:rPr/>
        <w:t>Three directions are planned for the next phase of the work. First, the current single-label classifier cannot handle complaints that involve more than one department, and a multi-label classification head is needed for that roughly 11% of cases. Second, Kannada language coverage in the embedding model is thin, and integrating a native Kannada language model or cross-lingual adapter should reduce errors on code-mixed inputs. Third, LLM inference at 1.63 seconds is the dominant latency cost; speculative decoding and model distillation are the most promising routes to getting that below 500 ms.</w:t>
      </w:r>
    </w:p>
    <w:p>
      <w:pPr>
        <w:pStyle w:val="Normal"/>
        <w:spacing w:lineRule="auto" w:line="264" w:before="0" w:after="70"/>
        <w:ind w:firstLine="432"/>
        <w:jc w:val="both"/>
        <w:rPr/>
      </w:pPr>
      <w:r>
        <w:rPr/>
      </w:r>
    </w:p>
    <w:p>
      <w:pPr>
        <w:pStyle w:val="Normal"/>
        <w:spacing w:lineRule="auto" w:line="276" w:before="140" w:after="70"/>
        <w:jc w:val="center"/>
        <w:rPr>
          <w:b/>
          <w:bCs/>
        </w:rPr>
      </w:pPr>
      <w:r>
        <w:rPr>
          <w:b/>
          <w:bCs/>
        </w:rPr>
        <w:t>X. REFERENCES</w:t>
      </w:r>
    </w:p>
    <w:p>
      <w:pPr>
        <w:pStyle w:val="Normal"/>
        <w:spacing w:before="0" w:after="40"/>
        <w:ind w:hanging="360" w:start="360"/>
        <w:jc w:val="both"/>
        <w:rPr/>
      </w:pPr>
      <w:r>
        <w:rPr>
          <w:sz w:val="16"/>
          <w:szCs w:val="16"/>
        </w:rPr>
        <w:t>[1]</w:t>
        <w:tab/>
        <w:t>A. Vaswani, N. Shazeer, N. Parmar, J. Uszkoreit, L. Jones, A. N. Gomez, L. Kaiser, and I. Polosukhin, "Attention is All You Need," in Proc. Advances in Neural Information Processing Systems (NeurIPS), 2017, pp. 5998–6008.</w:t>
      </w:r>
    </w:p>
    <w:p>
      <w:pPr>
        <w:pStyle w:val="Normal"/>
        <w:spacing w:before="0" w:after="40"/>
        <w:ind w:hanging="360" w:start="360"/>
        <w:jc w:val="both"/>
        <w:rPr/>
      </w:pPr>
      <w:r>
        <w:rPr>
          <w:sz w:val="16"/>
          <w:szCs w:val="16"/>
        </w:rPr>
        <w:t>[2]</w:t>
        <w:tab/>
        <w:t>P. Lewis, E. Perez, A. Piktus et al., "Retrieval-Augmented Generation for Knowledge-Intensive NLP Tasks," in Proc. NeurIPS, 2020, pp. 9459–9474.</w:t>
      </w:r>
    </w:p>
    <w:p>
      <w:pPr>
        <w:pStyle w:val="Normal"/>
        <w:spacing w:before="0" w:after="40"/>
        <w:ind w:hanging="360" w:start="360"/>
        <w:jc w:val="both"/>
        <w:rPr/>
      </w:pPr>
      <w:r>
        <w:rPr>
          <w:sz w:val="16"/>
          <w:szCs w:val="16"/>
        </w:rPr>
        <w:t>[3]</w:t>
        <w:tab/>
        <w:t>A. Radford, J. W. Kim, C. Hallacy et al., "Learning Transferable Visual Models from Natural Language Supervision," in Proc. Int. Conf. on Machine Learning (ICML), 2021, pp. 8748–8763.</w:t>
      </w:r>
    </w:p>
    <w:p>
      <w:pPr>
        <w:pStyle w:val="Normal"/>
        <w:spacing w:before="0" w:after="40"/>
        <w:ind w:hanging="360" w:start="360"/>
        <w:jc w:val="both"/>
        <w:rPr/>
      </w:pPr>
      <w:r>
        <w:rPr>
          <w:sz w:val="16"/>
          <w:szCs w:val="16"/>
        </w:rPr>
        <w:t>[4]</w:t>
        <w:tab/>
        <w:t>A. Radford, J. W. Kim, T. Xu, G. Brockman, C. McLeavey, and I. Sutskever, "Robust Speech Recognition via Large-Scale Weak Supervision," in Proc. ICML, 2023, pp. 28–47–28–67.</w:t>
      </w:r>
    </w:p>
    <w:p>
      <w:pPr>
        <w:pStyle w:val="Normal"/>
        <w:spacing w:before="0" w:after="40"/>
        <w:ind w:hanging="360" w:start="360"/>
        <w:jc w:val="both"/>
        <w:rPr/>
      </w:pPr>
      <w:r>
        <w:rPr>
          <w:sz w:val="16"/>
          <w:szCs w:val="16"/>
        </w:rPr>
        <w:t>[5]</w:t>
        <w:tab/>
        <w:t>N. Reimers and I. Gurevych, "Sentence-BERT: Sentence Embeddings using Siamese BERT-Networks," in Proc. Conf. on Empirical Methods in NLP (EMNLP), 2019, pp. 3982–3992.</w:t>
      </w:r>
    </w:p>
    <w:p>
      <w:pPr>
        <w:pStyle w:val="Normal"/>
        <w:spacing w:before="0" w:after="40"/>
        <w:ind w:hanging="360" w:start="360"/>
        <w:jc w:val="both"/>
        <w:rPr/>
      </w:pPr>
      <w:r>
        <w:rPr>
          <w:sz w:val="16"/>
          <w:szCs w:val="16"/>
        </w:rPr>
        <w:t>[6]</w:t>
        <w:tab/>
        <w:t>T. Wolf, L. Debut, V. Sanh et al., "Transformers: State-of-the-Art Natural Language Processing," in Proc. EMNLP: System Demonstrations, 2020, pp. 38–45.</w:t>
      </w:r>
    </w:p>
    <w:p>
      <w:pPr>
        <w:pStyle w:val="Normal"/>
        <w:spacing w:before="0" w:after="40"/>
        <w:ind w:hanging="360" w:start="360"/>
        <w:jc w:val="both"/>
        <w:rPr/>
      </w:pPr>
      <w:r>
        <w:rPr>
          <w:sz w:val="16"/>
          <w:szCs w:val="16"/>
        </w:rPr>
        <w:t>[7]</w:t>
        <w:tab/>
        <w:t>S. Iyengar, R. Krishnaswamy, and P. Nair, "E-Governance Digital Platforms for Urban Civic Services: A Pan-India Survey," Int. J. Eng. Research and Technology (IJERT), vol. 14, no. 3, pp. 212–224, 2025.</w:t>
      </w:r>
    </w:p>
    <w:p>
      <w:pPr>
        <w:pStyle w:val="Normal"/>
        <w:spacing w:before="0" w:after="40"/>
        <w:ind w:hanging="360" w:start="360"/>
        <w:jc w:val="both"/>
        <w:rPr/>
      </w:pPr>
      <w:r>
        <w:rPr>
          <w:sz w:val="16"/>
          <w:szCs w:val="16"/>
        </w:rPr>
        <w:t>[8]</w:t>
        <w:tab/>
        <w:t>A. Kumar, M. Joshi, and S. Verma, "Revolutionizing Civic Complaint Management Using Automated Routing Algorithms," Int. Research J. of Modernization in Eng., Technology and Science (IRJMETS), vol. 5, no. 9, pp. 1123–1131, 2023.</w:t>
      </w:r>
    </w:p>
    <w:p>
      <w:pPr>
        <w:pStyle w:val="Normal"/>
        <w:spacing w:before="0" w:after="40"/>
        <w:ind w:hanging="360" w:start="360"/>
        <w:jc w:val="both"/>
        <w:rPr/>
      </w:pPr>
      <w:r>
        <w:rPr>
          <w:sz w:val="16"/>
          <w:szCs w:val="16"/>
        </w:rPr>
        <w:t>[9]</w:t>
        <w:tab/>
        <w:t>X. Li, L. Bing, W. Shi, and W. Lam, "Unified Named Entity Recognition as Word-Word Relation Classification," IEEE Trans. Knowledge and Data Engineering (TKDE), vol. 35, no. 7, pp. 6763–6777, 2022.</w:t>
      </w:r>
    </w:p>
    <w:p>
      <w:pPr>
        <w:pStyle w:val="Normal"/>
        <w:spacing w:before="0" w:after="40"/>
        <w:ind w:hanging="360" w:start="360"/>
        <w:jc w:val="both"/>
        <w:rPr/>
      </w:pPr>
      <w:r>
        <w:rPr>
          <w:sz w:val="16"/>
          <w:szCs w:val="16"/>
        </w:rPr>
        <w:t>[10]</w:t>
        <w:tab/>
        <w:t>J. Kreps, N. Narkhede, and J. Rao, "Kafka: A Distributed Messaging System for Log Processing," in Proc. Workshop on Networking Meets Databases (NetDB), 2011, pp. 1–7.</w:t>
      </w:r>
    </w:p>
    <w:p>
      <w:pPr>
        <w:pStyle w:val="Normal"/>
        <w:spacing w:before="0" w:after="40"/>
        <w:ind w:hanging="360" w:start="360"/>
        <w:jc w:val="both"/>
        <w:rPr/>
      </w:pPr>
      <w:r>
        <w:rPr>
          <w:sz w:val="16"/>
          <w:szCs w:val="16"/>
        </w:rPr>
        <w:t>[11]</w:t>
        <w:tab/>
        <w:t>S. Bird, E. Klein, and E. Loper, Natural Language Processing with Python: Analyzing Text with the Natural Language Toolkit. Sebastopol, CA: O'Reilly Media, 2009.</w:t>
      </w:r>
    </w:p>
    <w:p>
      <w:pPr>
        <w:pStyle w:val="Normal"/>
        <w:spacing w:before="0" w:after="40"/>
        <w:ind w:hanging="360" w:start="360"/>
        <w:jc w:val="both"/>
        <w:rPr/>
      </w:pPr>
      <w:r>
        <w:rPr>
          <w:sz w:val="16"/>
          <w:szCs w:val="16"/>
        </w:rPr>
        <w:t>[12]</w:t>
        <w:tab/>
        <w:t>PostgreSQL Global Development Group, PostgreSQL 16 Documentation. [Online]. Available: https://www.postgresql.org/docs/16/</w:t>
      </w:r>
    </w:p>
    <w:p>
      <w:pPr>
        <w:pStyle w:val="Normal"/>
        <w:spacing w:before="0" w:after="40"/>
        <w:ind w:hanging="360" w:start="360"/>
        <w:jc w:val="both"/>
        <w:rPr/>
      </w:pPr>
      <w:r>
        <w:rPr>
          <w:sz w:val="16"/>
          <w:szCs w:val="16"/>
        </w:rPr>
        <w:t>[13]</w:t>
        <w:tab/>
        <w:t>S. Ramirez, "FastAPI: Modern, Fast Web Framework for Building APIs with Python," 2023. [Online]. Available: https://fastapi.tiangolo.com/</w:t>
      </w:r>
    </w:p>
    <w:p>
      <w:pPr>
        <w:pStyle w:val="Normal"/>
        <w:spacing w:before="0" w:after="40"/>
        <w:ind w:hanging="360" w:start="360"/>
        <w:jc w:val="both"/>
        <w:rPr/>
      </w:pPr>
      <w:r>
        <w:rPr>
          <w:sz w:val="16"/>
          <w:szCs w:val="16"/>
        </w:rPr>
        <w:t>[14]</w:t>
        <w:tab/>
        <w:t>Meta AI, "Llama 3: Open Foundation and Fine-Tuned Chat Models," 2024. [Online]. Available: https://ai.meta.com/llama/</w:t>
      </w:r>
    </w:p>
    <w:p>
      <w:pPr>
        <w:pStyle w:val="Normal"/>
        <w:spacing w:before="0" w:after="40"/>
        <w:ind w:hanging="360" w:start="360"/>
        <w:jc w:val="both"/>
        <w:rPr/>
      </w:pPr>
      <w:r>
        <w:rPr>
          <w:sz w:val="16"/>
          <w:szCs w:val="16"/>
        </w:rPr>
        <w:t>[15]</w:t>
        <w:tab/>
        <w:t>J. Mahari, A. Tanner, and A. Pentland, "AutoLAW: Augmented Legal Reasoning through Legal Precedent Prediction," arXiv:2301.00834, 2023.</w:t>
      </w:r>
    </w:p>
    <w:p>
      <w:pPr>
        <w:pStyle w:val="Normal"/>
        <w:spacing w:before="0" w:after="40"/>
        <w:ind w:hanging="360" w:start="360"/>
        <w:jc w:val="both"/>
        <w:rPr/>
      </w:pPr>
      <w:r>
        <w:rPr>
          <w:sz w:val="16"/>
          <w:szCs w:val="16"/>
        </w:rPr>
        <w:t>[16]</w:t>
        <w:tab/>
        <w:t>K. Singhal, S. Azizi, T. Tu et al., "Large Language Models Encode Clinical Knowledge," Nature, vol. 620, pp. 172–180, 2023.</w:t>
      </w:r>
    </w:p>
    <w:p>
      <w:pPr>
        <w:pStyle w:val="Normal"/>
        <w:spacing w:before="0" w:after="40"/>
        <w:ind w:hanging="360" w:start="360"/>
        <w:jc w:val="both"/>
        <w:rPr/>
      </w:pPr>
      <w:r>
        <w:rPr>
          <w:sz w:val="16"/>
          <w:szCs w:val="16"/>
        </w:rPr>
        <w:t>[17]</w:t>
        <w:tab/>
        <w:t>G. Chen, X. Han, Q. Wang, and Y. Liu, "Urban Infrastructure Damage Detection from Remote Sensing Imagery using CLIP-Guided Zero-Shot Learning," IEEE J. Selected Topics in Applied Earth Observations and Remote Sensing, vol. 16, pp. 4501–4513, 2023.</w:t>
      </w:r>
    </w:p>
    <w:p>
      <w:pPr>
        <w:pStyle w:val="Normal"/>
        <w:spacing w:before="0" w:after="40"/>
        <w:ind w:hanging="360" w:start="360"/>
        <w:jc w:val="both"/>
        <w:rPr/>
      </w:pPr>
      <w:r>
        <w:rPr>
          <w:sz w:val="16"/>
          <w:szCs w:val="16"/>
        </w:rPr>
        <w:t>[18]</w:t>
        <w:tab/>
        <w:t>A. Caragliu, C. Del Bo, and P. Nijkamp, "Smart Cities in Europe," J. Urban Technology, vol. 18, no. 2, pp. 65–82, 2011.</w:t>
      </w:r>
    </w:p>
    <w:p>
      <w:pPr>
        <w:pStyle w:val="Normal"/>
        <w:spacing w:before="0" w:after="40"/>
        <w:ind w:hanging="360" w:start="360"/>
        <w:jc w:val="both"/>
        <w:rPr/>
      </w:pPr>
      <w:r>
        <w:rPr>
          <w:sz w:val="16"/>
          <w:szCs w:val="16"/>
        </w:rPr>
        <w:t>[19]</w:t>
        <w:tab/>
        <w:t>M. Honnibal, I. Montani, S. Van Landeghem, and A. Boyd, "spaCy: Industrial-Strength Natural Language Processing in Python," Zenodo, 2020. doi: 10.5281/zenodo.1212303.</w:t>
      </w:r>
    </w:p>
    <w:p>
      <w:pPr>
        <w:pStyle w:val="Normal"/>
        <w:spacing w:before="0" w:after="40"/>
        <w:ind w:hanging="360" w:start="360"/>
        <w:jc w:val="both"/>
        <w:rPr/>
      </w:pPr>
      <w:r>
        <w:rPr>
          <w:sz w:val="16"/>
          <w:szCs w:val="16"/>
        </w:rPr>
        <w:t>[20]</w:t>
        <w:tab/>
        <w:t>R. Sharma, A. Ghosh, and P. Bhattacharyya, "Named Entity Recognition for Indian Urban Geographies: A Benchmark Dataset and Baseline," in Proc. 12th Int. Conf. on NLP (ICON), 2022, pp. 87–95.</w:t>
      </w:r>
    </w:p>
    <w:p>
      <w:pPr>
        <w:pStyle w:val="Normal"/>
        <w:spacing w:before="0" w:after="40"/>
        <w:ind w:hanging="360" w:start="360"/>
        <w:jc w:val="both"/>
        <w:rPr/>
      </w:pPr>
      <w:r>
        <w:rPr>
          <w:sz w:val="16"/>
          <w:szCs w:val="16"/>
        </w:rPr>
        <w:t>[21]</w:t>
        <w:tab/>
        <w:t>Google Developers, "Geocoding API Overview," Google Maps Platform, 2023. [Online]. Available: https://developers.google.com/maps/documentation/geocoding/overview</w:t>
      </w:r>
    </w:p>
    <w:p>
      <w:pPr>
        <w:pStyle w:val="Normal"/>
        <w:spacing w:before="0" w:after="40"/>
        <w:ind w:hanging="360" w:start="360"/>
        <w:jc w:val="both"/>
        <w:rPr/>
      </w:pPr>
      <w:r>
        <w:rPr>
          <w:sz w:val="16"/>
          <w:szCs w:val="16"/>
        </w:rPr>
        <w:t>[22]</w:t>
        <w:tab/>
        <w:t>A. Mackenzie, "pgvector: Open-Source Vector Similarity Search for Postgres," GitHub, 2023. [Online]. Available: https://github.com/pgvector/pgvector</w:t>
      </w:r>
    </w:p>
    <w:p>
      <w:pPr>
        <w:pStyle w:val="Normal"/>
        <w:spacing w:before="0" w:after="40"/>
        <w:ind w:hanging="360" w:start="360"/>
        <w:jc w:val="both"/>
        <w:rPr/>
      </w:pPr>
      <w:r>
        <w:rPr>
          <w:sz w:val="16"/>
          <w:szCs w:val="16"/>
        </w:rPr>
        <w:t>[23]</w:t>
        <w:tab/>
        <w:t>Meta Open Source, "React: A JavaScript Library for Building User Interfaces," 2023. [Online]. Available: https://react.dev/</w:t>
      </w:r>
    </w:p>
    <w:p>
      <w:pPr>
        <w:pStyle w:val="Normal"/>
        <w:spacing w:before="0" w:after="40"/>
        <w:ind w:hanging="360" w:start="360"/>
        <w:jc w:val="both"/>
        <w:rPr/>
      </w:pPr>
      <w:r>
        <w:rPr>
          <w:sz w:val="16"/>
          <w:szCs w:val="16"/>
        </w:rPr>
        <w:t>[24]</w:t>
        <w:tab/>
        <w:t>Vercel Inc., "Next.js 14 Documentation," 2023. [Online]. Available: https://nextjs.org/docs</w:t>
      </w:r>
    </w:p>
    <w:p>
      <w:pPr>
        <w:pStyle w:val="Normal"/>
        <w:spacing w:before="0" w:after="40"/>
        <w:ind w:hanging="360" w:start="360"/>
        <w:jc w:val="both"/>
        <w:rPr>
          <w:sz w:val="16"/>
          <w:szCs w:val="16"/>
        </w:rPr>
      </w:pPr>
      <w:r>
        <w:rPr>
          <w:sz w:val="16"/>
          <w:szCs w:val="16"/>
        </w:rPr>
        <w:t xml:space="preserve">[25] Docker Inc., "Docker Engine Documentation," 2023. [Online]. Available: </w:t>
      </w:r>
      <w:hyperlink r:id="rId10">
        <w:r>
          <w:rPr>
            <w:rStyle w:val="Hyperlink"/>
            <w:sz w:val="16"/>
            <w:szCs w:val="16"/>
          </w:rPr>
          <w:t>https://docs.docker.com/engine/</w:t>
        </w:r>
      </w:hyperlink>
    </w:p>
    <w:p>
      <w:pPr>
        <w:pStyle w:val="Normal"/>
        <w:spacing w:before="0" w:after="40"/>
        <w:ind w:hanging="360" w:start="360"/>
        <w:jc w:val="both"/>
        <w:rPr>
          <w:sz w:val="16"/>
          <w:szCs w:val="16"/>
        </w:rPr>
      </w:pPr>
      <w:r>
        <w:rPr>
          <w:sz w:val="16"/>
          <w:szCs w:val="16"/>
        </w:rPr>
        <w:t xml:space="preserve">[26]  G. KM and S. K, "Explainable Multilingual Civic Complaint Resolution System," </w:t>
      </w:r>
      <w:r>
        <w:rPr>
          <w:i/>
          <w:iCs/>
          <w:sz w:val="16"/>
          <w:szCs w:val="16"/>
        </w:rPr>
        <w:t>International Journal for Research in Applied Science &amp; Engineering Technology (IJRASET)</w:t>
      </w:r>
      <w:r>
        <w:rPr>
          <w:sz w:val="16"/>
          <w:szCs w:val="16"/>
        </w:rPr>
        <w:t>, vol. 14, no. 3, pp. 3094-3102, March 2026.</w:t>
      </w:r>
    </w:p>
    <w:p>
      <w:pPr>
        <w:pStyle w:val="Normal"/>
        <w:spacing w:before="0" w:after="40"/>
        <w:ind w:hanging="360" w:start="360"/>
        <w:jc w:val="both"/>
        <w:rPr>
          <w:sz w:val="16"/>
          <w:szCs w:val="16"/>
        </w:rPr>
      </w:pPr>
      <w:r>
        <w:rPr>
          <w:sz w:val="16"/>
          <w:szCs w:val="16"/>
        </w:rPr>
        <w:t xml:space="preserve">[27]  M. A. Jayanti and X. Y. Han, "Enhancing Model Context Protocol (MCP) with Context-Aware Server Collaboration," </w:t>
      </w:r>
      <w:r>
        <w:rPr>
          <w:i/>
          <w:iCs/>
          <w:sz w:val="16"/>
          <w:szCs w:val="16"/>
        </w:rPr>
        <w:t>arXiv:2601.11595</w:t>
      </w:r>
      <w:r>
        <w:rPr>
          <w:sz w:val="16"/>
          <w:szCs w:val="16"/>
        </w:rPr>
        <w:t>, 2026.</w:t>
      </w:r>
    </w:p>
    <w:p>
      <w:pPr>
        <w:pStyle w:val="Normal"/>
        <w:spacing w:before="0" w:after="40"/>
        <w:ind w:hanging="360" w:start="360"/>
        <w:jc w:val="both"/>
        <w:rPr>
          <w:sz w:val="16"/>
          <w:szCs w:val="16"/>
        </w:rPr>
      </w:pPr>
      <w:r>
        <w:rPr>
          <w:sz w:val="16"/>
          <w:szCs w:val="16"/>
        </w:rPr>
        <w:t xml:space="preserve">[28]  H. Gong et al., "Scaling Beyond Context: A Survey of Multimodal Retrieval-Augmented Generation for Document Understanding," </w:t>
      </w:r>
      <w:r>
        <w:rPr>
          <w:i/>
          <w:iCs/>
          <w:sz w:val="16"/>
          <w:szCs w:val="16"/>
        </w:rPr>
        <w:t>arXiv:2510.15253v2</w:t>
      </w:r>
      <w:r>
        <w:rPr>
          <w:sz w:val="16"/>
          <w:szCs w:val="16"/>
        </w:rPr>
        <w:t>, 2026.</w:t>
      </w:r>
    </w:p>
    <w:p>
      <w:pPr>
        <w:pStyle w:val="Normal"/>
        <w:spacing w:before="0" w:after="40"/>
        <w:ind w:hanging="360" w:start="360"/>
        <w:jc w:val="both"/>
        <w:rPr/>
      </w:pPr>
      <w:r>
        <w:rPr>
          <w:sz w:val="16"/>
          <w:szCs w:val="16"/>
        </w:rPr>
        <w:t xml:space="preserve">[29]  Digital Government Authority (DGA) Research, "Enterprise RAG &amp; Enabling Public Innovation: Ensuring Factuality and Accountability in AI-Driven Public Services," </w:t>
      </w:r>
      <w:r>
        <w:rPr>
          <w:i/>
          <w:iCs/>
          <w:sz w:val="16"/>
          <w:szCs w:val="16"/>
        </w:rPr>
        <w:t>DGA Technical Report</w:t>
      </w:r>
      <w:r>
        <w:rPr>
          <w:sz w:val="16"/>
          <w:szCs w:val="16"/>
        </w:rPr>
        <w:t xml:space="preserve">, vol. 2, no. 4, Jan. 2026. [Online]. Available: </w:t>
      </w:r>
      <w:hyperlink r:id="rId11" w:tgtFrame="_blank">
        <w:r>
          <w:rPr>
            <w:rStyle w:val="Hyperlink"/>
            <w:sz w:val="16"/>
            <w:szCs w:val="16"/>
          </w:rPr>
          <w:t>https://dga.gov.in/reports/enterprise-rag-2026</w:t>
        </w:r>
      </w:hyperlink>
      <w:r>
        <w:rPr>
          <w:sz w:val="16"/>
          <w:szCs w:val="16"/>
        </w:rPr>
        <w:t>. [Accessed: Apr. 22, 2026].</w:t>
      </w:r>
    </w:p>
    <w:sectPr>
      <w:type w:val="continuous"/>
      <w:pgSz w:w="11906" w:h="16838"/>
      <w:pgMar w:left="893" w:right="893" w:gutter="0" w:header="0" w:top="1080" w:footer="0" w:bottom="1440"/>
      <w:cols w:num="2" w:space="360" w:equalWidth="true" w:sep="false"/>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61"/>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0"/>
      <w:szCs w:val="20"/>
      <w:lang w:val="en-IN" w:eastAsia="en-IN" w:bidi="ar-SA"/>
    </w:rPr>
  </w:style>
  <w:style w:type="paragraph" w:styleId="Heading1">
    <w:name w:val="heading 1"/>
    <w:uiPriority w:val="9"/>
    <w:qFormat/>
    <w:pPr>
      <w:widowControl/>
      <w:bidi w:val="0"/>
      <w:spacing w:before="0" w:after="0"/>
      <w:jc w:val="start"/>
      <w:outlineLvl w:val="0"/>
    </w:pPr>
    <w:rPr>
      <w:rFonts w:ascii="Times New Roman" w:hAnsi="Times New Roman" w:eastAsia="Times New Roman" w:cs="Times New Roman"/>
      <w:color w:val="2E74B5"/>
      <w:kern w:val="0"/>
      <w:sz w:val="32"/>
      <w:szCs w:val="32"/>
      <w:lang w:val="en-IN" w:eastAsia="en-IN" w:bidi="ar-SA"/>
    </w:rPr>
  </w:style>
  <w:style w:type="paragraph" w:styleId="Heading2">
    <w:name w:val="heading 2"/>
    <w:uiPriority w:val="9"/>
    <w:semiHidden/>
    <w:unhideWhenUsed/>
    <w:qFormat/>
    <w:pPr>
      <w:widowControl/>
      <w:bidi w:val="0"/>
      <w:spacing w:before="0" w:after="0"/>
      <w:jc w:val="start"/>
      <w:outlineLvl w:val="1"/>
    </w:pPr>
    <w:rPr>
      <w:rFonts w:ascii="Times New Roman" w:hAnsi="Times New Roman" w:eastAsia="Times New Roman" w:cs="Times New Roman"/>
      <w:color w:val="2E74B5"/>
      <w:kern w:val="0"/>
      <w:sz w:val="26"/>
      <w:szCs w:val="26"/>
      <w:lang w:val="en-IN" w:eastAsia="en-IN" w:bidi="ar-SA"/>
    </w:rPr>
  </w:style>
  <w:style w:type="paragraph" w:styleId="Heading3">
    <w:name w:val="heading 3"/>
    <w:uiPriority w:val="9"/>
    <w:semiHidden/>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IN" w:eastAsia="en-IN"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0"/>
      <w:szCs w:val="20"/>
      <w:lang w:val="en-IN" w:eastAsia="en-IN"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0"/>
      <w:szCs w:val="20"/>
      <w:lang w:val="en-IN" w:eastAsia="en-IN"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0"/>
      <w:szCs w:val="20"/>
      <w:lang w:val="en-IN" w:eastAsia="en-IN" w:bidi="ar-SA"/>
    </w:rPr>
  </w:style>
  <w:style w:type="character" w:styleId="DefaultParagraphFont" w:default="1">
    <w:name w:val="Default Paragraph Font"/>
    <w:uiPriority w:val="1"/>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9315c3"/>
    <w:rPr>
      <w:color w:val="605E5C"/>
      <w:shd w:fill="E1DFDD" w:val="clear"/>
    </w:rPr>
  </w:style>
  <w:style w:type="character" w:styleId="BodyTextChar" w:customStyle="1">
    <w:name w:val="Body Text Char"/>
    <w:basedOn w:val="DefaultParagraphFont"/>
    <w:uiPriority w:val="1"/>
    <w:qFormat/>
    <w:rsid w:val="006625ea"/>
    <w:rPr>
      <w:lang w:val="en-US" w:eastAsia="en-US"/>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link w:val="BodyTextChar"/>
    <w:uiPriority w:val="1"/>
    <w:qFormat/>
    <w:rsid w:val="006625ea"/>
    <w:pPr>
      <w:widowControl w:val="false"/>
      <w:ind w:start="92"/>
      <w:jc w:val="both"/>
    </w:pPr>
    <w:rPr>
      <w:lang w:val="en-US" w:eastAsia="en-US"/>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IN" w:eastAsia="en-IN"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0"/>
      <w:szCs w:val="20"/>
      <w:lang w:val="en-IN" w:eastAsia="en-IN"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0"/>
      <w:szCs w:val="20"/>
      <w:lang w:val="en-IN" w:eastAsia="en-IN"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IN" w:eastAsia="en-IN" w:bidi="ar-SA"/>
    </w:rPr>
  </w:style>
  <w:style w:type="paragraph" w:styleId="NormalWeb">
    <w:name w:val="Normal (Web)"/>
    <w:basedOn w:val="Normal"/>
    <w:uiPriority w:val="99"/>
    <w:semiHidden/>
    <w:unhideWhenUsed/>
    <w:qFormat/>
    <w:rsid w:val="00442957"/>
    <w:pPr/>
    <w:rPr>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625ea"/>
    <w:rPr>
      <w:rFonts w:asciiTheme="minorHAnsi" w:hAnsiTheme="minorHAnsi" w:eastAsiaTheme="minorHAnsi" w:cstheme="minorBidi"/>
      <w:sz w:val="22"/>
      <w:szCs w:val="22"/>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1ds23is031@dsce.edu.in" TargetMode="External"/><Relationship Id="rId3" Type="http://schemas.openxmlformats.org/officeDocument/2006/relationships/hyperlink" Target="mailto:1ds23is035@dsce.edu.in" TargetMode="External"/><Relationship Id="rId4" Type="http://schemas.openxmlformats.org/officeDocument/2006/relationships/hyperlink" Target="mailto:1ds23is037@dsce.edu.in" TargetMode="External"/><Relationship Id="rId5" Type="http://schemas.openxmlformats.org/officeDocument/2006/relationships/hyperlink" Target="mailto:1ds23is044@dsce.edu.in"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hyperlink" Target="https://docs.docker.com/engine/" TargetMode="External"/><Relationship Id="rId11" Type="http://schemas.openxmlformats.org/officeDocument/2006/relationships/hyperlink" Target="https://www.google.com/search?q=https://dga.gov.in/reports/enterprise-rag-2026"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LibreOffice/26.2.3.2$Linux_X86_64 LibreOffice_project/620$Build-2</Application>
  <AppVersion>15.0000</AppVersion>
  <Pages>8</Pages>
  <Words>4564</Words>
  <Characters>27241</Characters>
  <CharactersWithSpaces>31532</CharactersWithSpaces>
  <Paragraphs>303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2026-04-22T05:28:00Z</dcterms:created>
  <dc:creator>Un-named</dc:creator>
  <dc:description/>
  <dc:language>en-US</dc:language>
  <cp:lastModifiedBy/>
  <cp:lastPrinted>2026-03-19T05:04:00Z</cp:lastPrinted>
  <dcterms:modified xsi:type="dcterms:W3CDTF">2026-05-08T13:12:04Z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