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Governance Performance Analytics Report</w:t>
      </w:r>
    </w:p>
    <w:p>
      <w:pPr>
        <w:jc w:val="center"/>
      </w:pPr>
      <w:r>
        <w:rPr>
          <w:color w:val="4B5563"/>
          <w:sz w:val="22"/>
        </w:rPr>
        <w:t>Evidence-based comparison of selected public-sector and public-utility leadership indicators</w:t>
      </w:r>
    </w:p>
    <w:p>
      <w:r>
        <w:t>This project is an independent governance analytics and civic-tech research platform based on publicly available information.</w:t>
      </w:r>
    </w:p>
    <w:p>
      <w:pPr>
        <w:pStyle w:val="Heading1"/>
      </w:pPr>
      <w:r>
        <w:t>Executive Summary</w:t>
      </w:r>
    </w:p>
    <w:p>
      <w:r>
        <w:t>This report compares documented governance and institutional performance indicators. The scores are derived from cited evidence rows and should be read as a civic-tech analytic aid, not a definitive judgment.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rPr>
                <w:b/>
                <w:color w:val="0B1F3A"/>
              </w:rPr>
              <w:t>person</w:t>
            </w:r>
          </w:p>
        </w:tc>
        <w:tc>
          <w:tcPr>
            <w:tcW w:type="dxa" w:w="1958"/>
          </w:tcPr>
          <w:p>
            <w:r>
              <w:rPr>
                <w:b/>
                <w:color w:val="0B1F3A"/>
              </w:rPr>
              <w:t>overall_governance_score</w:t>
            </w:r>
          </w:p>
        </w:tc>
        <w:tc>
          <w:tcPr>
            <w:tcW w:type="dxa" w:w="1958"/>
          </w:tcPr>
          <w:p>
            <w:r>
              <w:rPr>
                <w:b/>
                <w:color w:val="0B1F3A"/>
              </w:rPr>
              <w:t>evidence_count</w:t>
            </w:r>
          </w:p>
        </w:tc>
        <w:tc>
          <w:tcPr>
            <w:tcW w:type="dxa" w:w="1958"/>
          </w:tcPr>
          <w:p>
            <w:r>
              <w:rPr>
                <w:b/>
                <w:color w:val="0B1F3A"/>
              </w:rPr>
              <w:t>quantitative_evidence_count</w:t>
            </w:r>
          </w:p>
        </w:tc>
        <w:tc>
          <w:tcPr>
            <w:tcW w:type="dxa" w:w="1958"/>
          </w:tcPr>
          <w:p>
            <w:r>
              <w:rPr>
                <w:b/>
                <w:color w:val="0B1F3A"/>
              </w:rPr>
              <w:t>category_coverage_percent</w:t>
            </w:r>
          </w:p>
        </w:tc>
      </w:tr>
      <w:tr>
        <w:tc>
          <w:tcPr>
            <w:tcW w:type="dxa" w:w="1958"/>
          </w:tcPr>
          <w:p>
            <w:r>
              <w:t>Prof. Isa Ali Ibrahim Pantami</w:t>
            </w:r>
          </w:p>
        </w:tc>
        <w:tc>
          <w:tcPr>
            <w:tcW w:type="dxa" w:w="1958"/>
          </w:tcPr>
          <w:p>
            <w:r>
              <w:t>61.34</w:t>
            </w:r>
          </w:p>
        </w:tc>
        <w:tc>
          <w:tcPr>
            <w:tcW w:type="dxa" w:w="1958"/>
          </w:tcPr>
          <w:p>
            <w:r>
              <w:t>8</w:t>
            </w:r>
          </w:p>
        </w:tc>
        <w:tc>
          <w:tcPr>
            <w:tcW w:type="dxa" w:w="1958"/>
          </w:tcPr>
          <w:p>
            <w:r>
              <w:t>5</w:t>
            </w:r>
          </w:p>
        </w:tc>
        <w:tc>
          <w:tcPr>
            <w:tcW w:type="dxa" w:w="1958"/>
          </w:tcPr>
          <w:p>
            <w:r>
              <w:t>85.71</w:t>
            </w:r>
          </w:p>
        </w:tc>
      </w:tr>
      <w:tr>
        <w:tc>
          <w:tcPr>
            <w:tcW w:type="dxa" w:w="1958"/>
          </w:tcPr>
          <w:p>
            <w:r>
              <w:t>Dr. Jamilu Isyaku Gwamna</w:t>
            </w:r>
          </w:p>
        </w:tc>
        <w:tc>
          <w:tcPr>
            <w:tcW w:type="dxa" w:w="1958"/>
          </w:tcPr>
          <w:p>
            <w:r>
              <w:t>33.23</w:t>
            </w:r>
          </w:p>
        </w:tc>
        <w:tc>
          <w:tcPr>
            <w:tcW w:type="dxa" w:w="1958"/>
          </w:tcPr>
          <w:p>
            <w:r>
              <w:t>8</w:t>
            </w:r>
          </w:p>
        </w:tc>
        <w:tc>
          <w:tcPr>
            <w:tcW w:type="dxa" w:w="1958"/>
          </w:tcPr>
          <w:p>
            <w:r>
              <w:t>1</w:t>
            </w:r>
          </w:p>
        </w:tc>
        <w:tc>
          <w:tcPr>
            <w:tcW w:type="dxa" w:w="1958"/>
          </w:tcPr>
          <w:p>
            <w:r>
              <w:t>85.71</w:t>
            </w:r>
          </w:p>
        </w:tc>
      </w:tr>
    </w:tbl>
    <w:p>
      <w:pPr>
        <w:pStyle w:val="Heading1"/>
      </w:pPr>
      <w:r>
        <w:t>Category Scorecards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r>
              <w:rPr>
                <w:b/>
                <w:color w:val="0B1F3A"/>
              </w:rPr>
              <w:t>person</w:t>
            </w:r>
          </w:p>
        </w:tc>
        <w:tc>
          <w:tcPr>
            <w:tcW w:type="dxa" w:w="1632"/>
          </w:tcPr>
          <w:p>
            <w:r>
              <w:rPr>
                <w:b/>
                <w:color w:val="0B1F3A"/>
              </w:rPr>
              <w:t>category</w:t>
            </w:r>
          </w:p>
        </w:tc>
        <w:tc>
          <w:tcPr>
            <w:tcW w:type="dxa" w:w="1632"/>
          </w:tcPr>
          <w:p>
            <w:r>
              <w:rPr>
                <w:b/>
                <w:color w:val="0B1F3A"/>
              </w:rPr>
              <w:t>weight</w:t>
            </w:r>
          </w:p>
        </w:tc>
        <w:tc>
          <w:tcPr>
            <w:tcW w:type="dxa" w:w="1632"/>
          </w:tcPr>
          <w:p>
            <w:r>
              <w:rPr>
                <w:b/>
                <w:color w:val="0B1F3A"/>
              </w:rPr>
              <w:t>category_score</w:t>
            </w:r>
          </w:p>
        </w:tc>
        <w:tc>
          <w:tcPr>
            <w:tcW w:type="dxa" w:w="1632"/>
          </w:tcPr>
          <w:p>
            <w:r>
              <w:rPr>
                <w:b/>
                <w:color w:val="0B1F3A"/>
              </w:rPr>
              <w:t>evidence_count</w:t>
            </w:r>
          </w:p>
        </w:tc>
        <w:tc>
          <w:tcPr>
            <w:tcW w:type="dxa" w:w="1632"/>
          </w:tcPr>
          <w:p>
            <w:r>
              <w:rPr>
                <w:b/>
                <w:color w:val="0B1F3A"/>
              </w:rPr>
              <w:t>coverage_status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Infrastructure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71.77</w:t>
            </w:r>
          </w:p>
        </w:tc>
        <w:tc>
          <w:tcPr>
            <w:tcW w:type="dxa" w:w="1632"/>
          </w:tcPr>
          <w:p>
            <w:r>
              <w:t>3</w:t>
            </w:r>
          </w:p>
        </w:tc>
        <w:tc>
          <w:tcPr>
            <w:tcW w:type="dxa" w:w="1632"/>
          </w:tcPr>
          <w:p>
            <w:r>
              <w:t>quantitative_or_mixed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Economy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84.8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quantitative_or_mixed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Youth Empowerment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76.3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quantitative_or_mixed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Crisis Handling</w:t>
            </w:r>
          </w:p>
        </w:tc>
        <w:tc>
          <w:tcPr>
            <w:tcW w:type="dxa" w:w="1632"/>
          </w:tcPr>
          <w:p>
            <w:r>
              <w:t>0.15</w:t>
            </w:r>
          </w:p>
        </w:tc>
        <w:tc>
          <w:tcPr>
            <w:tcW w:type="dxa" w:w="1632"/>
          </w:tcPr>
          <w:p>
            <w:r>
              <w:t>36.3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Transparency</w:t>
            </w:r>
          </w:p>
        </w:tc>
        <w:tc>
          <w:tcPr>
            <w:tcW w:type="dxa" w:w="1632"/>
          </w:tcPr>
          <w:p>
            <w:r>
              <w:t>0.1</w:t>
            </w:r>
          </w:p>
        </w:tc>
        <w:tc>
          <w:tcPr>
            <w:tcW w:type="dxa" w:w="1632"/>
          </w:tcPr>
          <w:p>
            <w:r>
              <w:t>74.6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quantitative_or_mixed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Public Utility Management</w:t>
            </w:r>
          </w:p>
        </w:tc>
        <w:tc>
          <w:tcPr>
            <w:tcW w:type="dxa" w:w="1632"/>
          </w:tcPr>
          <w:p>
            <w:r>
              <w:t>0.1</w:t>
            </w:r>
          </w:p>
        </w:tc>
        <w:tc>
          <w:tcPr>
            <w:tcW w:type="dxa" w:w="1632"/>
          </w:tcPr>
          <w:p>
            <w:r>
              <w:t>0.0</w:t>
            </w:r>
          </w:p>
        </w:tc>
        <w:tc>
          <w:tcPr>
            <w:tcW w:type="dxa" w:w="1632"/>
          </w:tcPr>
          <w:p>
            <w:r>
              <w:t>0</w:t>
            </w:r>
          </w:p>
        </w:tc>
        <w:tc>
          <w:tcPr>
            <w:tcW w:type="dxa" w:w="1632"/>
          </w:tcPr>
          <w:p>
            <w:r>
              <w:t>insufficient_public_evidence</w:t>
            </w:r>
          </w:p>
        </w:tc>
      </w:tr>
      <w:tr>
        <w:tc>
          <w:tcPr>
            <w:tcW w:type="dxa" w:w="1632"/>
          </w:tcPr>
          <w:p>
            <w:r>
              <w:t>Prof. Isa Ali Ibrahim Pantami</w:t>
            </w:r>
          </w:p>
        </w:tc>
        <w:tc>
          <w:tcPr>
            <w:tcW w:type="dxa" w:w="1632"/>
          </w:tcPr>
          <w:p>
            <w:r>
              <w:t>Innovation</w:t>
            </w:r>
          </w:p>
        </w:tc>
        <w:tc>
          <w:tcPr>
            <w:tcW w:type="dxa" w:w="1632"/>
          </w:tcPr>
          <w:p>
            <w:r>
              <w:t>0.05</w:t>
            </w:r>
          </w:p>
        </w:tc>
        <w:tc>
          <w:tcPr>
            <w:tcW w:type="dxa" w:w="1632"/>
          </w:tcPr>
          <w:p>
            <w:r>
              <w:t>37.4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Infrastructure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46.24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Economy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0.0</w:t>
            </w:r>
          </w:p>
        </w:tc>
        <w:tc>
          <w:tcPr>
            <w:tcW w:type="dxa" w:w="1632"/>
          </w:tcPr>
          <w:p>
            <w:r>
              <w:t>0</w:t>
            </w:r>
          </w:p>
        </w:tc>
        <w:tc>
          <w:tcPr>
            <w:tcW w:type="dxa" w:w="1632"/>
          </w:tcPr>
          <w:p>
            <w:r>
              <w:t>insufficient_public_evidence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Youth Empowerment</w:t>
            </w:r>
          </w:p>
        </w:tc>
        <w:tc>
          <w:tcPr>
            <w:tcW w:type="dxa" w:w="1632"/>
          </w:tcPr>
          <w:p>
            <w:r>
              <w:t>0.2</w:t>
            </w:r>
          </w:p>
        </w:tc>
        <w:tc>
          <w:tcPr>
            <w:tcW w:type="dxa" w:w="1632"/>
          </w:tcPr>
          <w:p>
            <w:r>
              <w:t>30.8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Crisis Handling</w:t>
            </w:r>
          </w:p>
        </w:tc>
        <w:tc>
          <w:tcPr>
            <w:tcW w:type="dxa" w:w="1632"/>
          </w:tcPr>
          <w:p>
            <w:r>
              <w:t>0.15</w:t>
            </w:r>
          </w:p>
        </w:tc>
        <w:tc>
          <w:tcPr>
            <w:tcW w:type="dxa" w:w="1632"/>
          </w:tcPr>
          <w:p>
            <w:r>
              <w:t>36.3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Transparency</w:t>
            </w:r>
          </w:p>
        </w:tc>
        <w:tc>
          <w:tcPr>
            <w:tcW w:type="dxa" w:w="1632"/>
          </w:tcPr>
          <w:p>
            <w:r>
              <w:t>0.1</w:t>
            </w:r>
          </w:p>
        </w:tc>
        <w:tc>
          <w:tcPr>
            <w:tcW w:type="dxa" w:w="1632"/>
          </w:tcPr>
          <w:p>
            <w:r>
              <w:t>41.63</w:t>
            </w:r>
          </w:p>
        </w:tc>
        <w:tc>
          <w:tcPr>
            <w:tcW w:type="dxa" w:w="1632"/>
          </w:tcPr>
          <w:p>
            <w:r>
              <w:t>2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Public Utility Management</w:t>
            </w:r>
          </w:p>
        </w:tc>
        <w:tc>
          <w:tcPr>
            <w:tcW w:type="dxa" w:w="1632"/>
          </w:tcPr>
          <w:p>
            <w:r>
              <w:t>0.1</w:t>
            </w:r>
          </w:p>
        </w:tc>
        <w:tc>
          <w:tcPr>
            <w:tcW w:type="dxa" w:w="1632"/>
          </w:tcPr>
          <w:p>
            <w:r>
              <w:t>62.5</w:t>
            </w:r>
          </w:p>
        </w:tc>
        <w:tc>
          <w:tcPr>
            <w:tcW w:type="dxa" w:w="1632"/>
          </w:tcPr>
          <w:p>
            <w:r>
              <w:t>2</w:t>
            </w:r>
          </w:p>
        </w:tc>
        <w:tc>
          <w:tcPr>
            <w:tcW w:type="dxa" w:w="1632"/>
          </w:tcPr>
          <w:p>
            <w:r>
              <w:t>quantitative_or_mixed</w:t>
            </w:r>
          </w:p>
        </w:tc>
      </w:tr>
      <w:tr>
        <w:tc>
          <w:tcPr>
            <w:tcW w:type="dxa" w:w="1632"/>
          </w:tcPr>
          <w:p>
            <w:r>
              <w:t>Dr. Jamilu Isyaku Gwamna</w:t>
            </w:r>
          </w:p>
        </w:tc>
        <w:tc>
          <w:tcPr>
            <w:tcW w:type="dxa" w:w="1632"/>
          </w:tcPr>
          <w:p>
            <w:r>
              <w:t>Innovation</w:t>
            </w:r>
          </w:p>
        </w:tc>
        <w:tc>
          <w:tcPr>
            <w:tcW w:type="dxa" w:w="1632"/>
          </w:tcPr>
          <w:p>
            <w:r>
              <w:t>0.05</w:t>
            </w:r>
          </w:p>
        </w:tc>
        <w:tc>
          <w:tcPr>
            <w:tcW w:type="dxa" w:w="1632"/>
          </w:tcPr>
          <w:p>
            <w:r>
              <w:t>39.44</w:t>
            </w:r>
          </w:p>
        </w:tc>
        <w:tc>
          <w:tcPr>
            <w:tcW w:type="dxa" w:w="1632"/>
          </w:tcPr>
          <w:p>
            <w:r>
              <w:t>1</w:t>
            </w:r>
          </w:p>
        </w:tc>
        <w:tc>
          <w:tcPr>
            <w:tcW w:type="dxa" w:w="1632"/>
          </w:tcPr>
          <w:p>
            <w:r>
              <w:t>qualitative_only</w:t>
            </w:r>
          </w:p>
        </w:tc>
      </w:tr>
    </w:tbl>
    <w:p>
      <w:pPr>
        <w:pStyle w:val="Heading1"/>
      </w:pPr>
      <w:r>
        <w:t>Key Evidence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r>
              <w:rPr>
                <w:b/>
                <w:color w:val="0B1F3A"/>
              </w:rPr>
              <w:t>person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category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indicator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metric_value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metric_unit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claim_summary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source_id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Economy</w:t>
            </w:r>
          </w:p>
        </w:tc>
        <w:tc>
          <w:tcPr>
            <w:tcW w:type="dxa" w:w="1399"/>
          </w:tcPr>
          <w:p>
            <w:r>
              <w:t>ICT sector GDP contribution</w:t>
            </w:r>
          </w:p>
        </w:tc>
        <w:tc>
          <w:tcPr>
            <w:tcW w:type="dxa" w:w="1399"/>
          </w:tcPr>
          <w:p>
            <w:r>
              <w:t>14.42</w:t>
            </w:r>
          </w:p>
        </w:tc>
        <w:tc>
          <w:tcPr>
            <w:tcW w:type="dxa" w:w="1399"/>
          </w:tcPr>
          <w:p>
            <w:r>
              <w:t>percent_of_gdp</w:t>
            </w:r>
          </w:p>
        </w:tc>
        <w:tc>
          <w:tcPr>
            <w:tcW w:type="dxa" w:w="1399"/>
          </w:tcPr>
          <w:p>
            <w:r>
              <w:t>NCC-linked statement reported ICT contribution to GDP at 14.42 percent in Q2 2021.</w:t>
            </w:r>
          </w:p>
        </w:tc>
        <w:tc>
          <w:tcPr>
            <w:tcW w:type="dxa" w:w="1399"/>
          </w:tcPr>
          <w:p>
            <w:r>
              <w:t>SRC003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Infrastructure</w:t>
            </w:r>
          </w:p>
        </w:tc>
        <w:tc>
          <w:tcPr>
            <w:tcW w:type="dxa" w:w="1399"/>
          </w:tcPr>
          <w:p>
            <w:r>
              <w:t>Broadband penetration</w:t>
            </w:r>
          </w:p>
        </w:tc>
        <w:tc>
          <w:tcPr>
            <w:tcW w:type="dxa" w:w="1399"/>
          </w:tcPr>
          <w:p>
            <w:r>
              <w:t>40.01</w:t>
            </w:r>
          </w:p>
        </w:tc>
        <w:tc>
          <w:tcPr>
            <w:tcW w:type="dxa" w:w="1399"/>
          </w:tcPr>
          <w:p>
            <w:r>
              <w:t>percent</w:t>
            </w:r>
          </w:p>
        </w:tc>
        <w:tc>
          <w:tcPr>
            <w:tcW w:type="dxa" w:w="1399"/>
          </w:tcPr>
          <w:p>
            <w:r>
              <w:t>NCC-linked statement reported broadband penetration at 40.01 percent by September 2021.</w:t>
            </w:r>
          </w:p>
        </w:tc>
        <w:tc>
          <w:tcPr>
            <w:tcW w:type="dxa" w:w="1399"/>
          </w:tcPr>
          <w:p>
            <w:r>
              <w:t>SRC003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Infrastructure</w:t>
            </w:r>
          </w:p>
        </w:tc>
        <w:tc>
          <w:tcPr>
            <w:tcW w:type="dxa" w:w="1399"/>
          </w:tcPr>
          <w:p>
            <w:r>
              <w:t>Broadband access</w:t>
            </w:r>
          </w:p>
        </w:tc>
        <w:tc>
          <w:tcPr>
            <w:tcW w:type="dxa" w:w="1399"/>
          </w:tcPr>
          <w:p>
            <w:r>
              <w:t>80.0</w:t>
            </w:r>
          </w:p>
        </w:tc>
        <w:tc>
          <w:tcPr>
            <w:tcW w:type="dxa" w:w="1399"/>
          </w:tcPr>
          <w:p>
            <w:r>
              <w:t>million_people</w:t>
            </w:r>
          </w:p>
        </w:tc>
        <w:tc>
          <w:tcPr>
            <w:tcW w:type="dxa" w:w="1399"/>
          </w:tcPr>
          <w:p>
            <w:r>
              <w:t>Public report stated 80 million Nigerians had broadband access by December 2021.</w:t>
            </w:r>
          </w:p>
        </w:tc>
        <w:tc>
          <w:tcPr>
            <w:tcW w:type="dxa" w:w="1399"/>
          </w:tcPr>
          <w:p>
            <w:r>
              <w:t>SRC011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Youth Empowerment</w:t>
            </w:r>
          </w:p>
        </w:tc>
        <w:tc>
          <w:tcPr>
            <w:tcW w:type="dxa" w:w="1399"/>
          </w:tcPr>
          <w:p>
            <w:r>
              <w:t>Digital skills beneficiaries</w:t>
            </w:r>
          </w:p>
        </w:tc>
        <w:tc>
          <w:tcPr>
            <w:tcW w:type="dxa" w:w="1399"/>
          </w:tcPr>
          <w:p>
            <w:r>
              <w:t>219000.0</w:t>
            </w:r>
          </w:p>
        </w:tc>
        <w:tc>
          <w:tcPr>
            <w:tcW w:type="dxa" w:w="1399"/>
          </w:tcPr>
          <w:p>
            <w:r>
              <w:t>people</w:t>
            </w:r>
          </w:p>
        </w:tc>
        <w:tc>
          <w:tcPr>
            <w:tcW w:type="dxa" w:w="1399"/>
          </w:tcPr>
          <w:p>
            <w:r>
              <w:t>USPF ministry-achievements page reported more than 219000 direct digital skills beneficiaries.</w:t>
            </w:r>
          </w:p>
        </w:tc>
        <w:tc>
          <w:tcPr>
            <w:tcW w:type="dxa" w:w="1399"/>
          </w:tcPr>
          <w:p>
            <w:r>
              <w:t>SRC001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Infrastructure</w:t>
            </w:r>
          </w:p>
        </w:tc>
        <w:tc>
          <w:tcPr>
            <w:tcW w:type="dxa" w:w="1399"/>
          </w:tcPr>
          <w:p>
            <w:r>
              <w:t>ICT centres established</w:t>
            </w:r>
          </w:p>
        </w:tc>
        <w:tc>
          <w:tcPr>
            <w:tcW w:type="dxa" w:w="1399"/>
          </w:tcPr>
          <w:p>
            <w:r>
              <w:t>1667.0</w:t>
            </w:r>
          </w:p>
        </w:tc>
        <w:tc>
          <w:tcPr>
            <w:tcW w:type="dxa" w:w="1399"/>
          </w:tcPr>
          <w:p>
            <w:r>
              <w:t>centres</w:t>
            </w:r>
          </w:p>
        </w:tc>
        <w:tc>
          <w:tcPr>
            <w:tcW w:type="dxa" w:w="1399"/>
          </w:tcPr>
          <w:p>
            <w:r>
              <w:t>USPF ministry-achievements page reported 1667 projects/centres established and 455 ongoing.</w:t>
            </w:r>
          </w:p>
        </w:tc>
        <w:tc>
          <w:tcPr>
            <w:tcW w:type="dxa" w:w="1399"/>
          </w:tcPr>
          <w:p>
            <w:r>
              <w:t>SRC001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Transparency</w:t>
            </w:r>
          </w:p>
        </w:tc>
        <w:tc>
          <w:tcPr>
            <w:tcW w:type="dxa" w:w="1399"/>
          </w:tcPr>
          <w:p>
            <w:r>
              <w:t>National identity enrolment</w:t>
            </w:r>
          </w:p>
        </w:tc>
        <w:tc>
          <w:tcPr>
            <w:tcW w:type="dxa" w:w="1399"/>
          </w:tcPr>
          <w:p>
            <w:r>
              <w:t>61.0</w:t>
            </w:r>
          </w:p>
        </w:tc>
        <w:tc>
          <w:tcPr>
            <w:tcW w:type="dxa" w:w="1399"/>
          </w:tcPr>
          <w:p>
            <w:r>
              <w:t>million_unique_enrolments</w:t>
            </w:r>
          </w:p>
        </w:tc>
        <w:tc>
          <w:tcPr>
            <w:tcW w:type="dxa" w:w="1399"/>
          </w:tcPr>
          <w:p>
            <w:r>
              <w:t>USPF ministry-achievements page reported more than 61 million unique NIN enrolments.</w:t>
            </w:r>
          </w:p>
        </w:tc>
        <w:tc>
          <w:tcPr>
            <w:tcW w:type="dxa" w:w="1399"/>
          </w:tcPr>
          <w:p>
            <w:r>
              <w:t>SRC001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Innovation</w:t>
            </w:r>
          </w:p>
        </w:tc>
        <w:tc>
          <w:tcPr>
            <w:tcW w:type="dxa" w:w="1399"/>
          </w:tcPr>
          <w:p>
            <w:r>
              <w:t>NITDA institutional development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NITDA article credited agency development and GDP relevance in the digital economy ecosystem.</w:t>
            </w:r>
          </w:p>
        </w:tc>
        <w:tc>
          <w:tcPr>
            <w:tcW w:type="dxa" w:w="1399"/>
          </w:tcPr>
          <w:p>
            <w:r>
              <w:t>SRC002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Crisis Handling</w:t>
            </w:r>
          </w:p>
        </w:tc>
        <w:tc>
          <w:tcPr>
            <w:tcW w:type="dxa" w:w="1399"/>
          </w:tcPr>
          <w:p>
            <w:r>
              <w:t>COVID-era digital economy continuity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ICT sector growth during the recession period was cited in official achievements materials.</w:t>
            </w:r>
          </w:p>
        </w:tc>
        <w:tc>
          <w:tcPr>
            <w:tcW w:type="dxa" w:w="1399"/>
          </w:tcPr>
          <w:p>
            <w:r>
              <w:t>SRC001</w:t>
            </w:r>
          </w:p>
        </w:tc>
      </w:tr>
      <w:tr>
        <w:tc>
          <w:tcPr>
            <w:tcW w:type="dxa" w:w="1399"/>
          </w:tcPr>
          <w:p>
            <w:r>
              <w:t>Prof. Isa Ali Ibrahim Pantami</w:t>
            </w:r>
          </w:p>
        </w:tc>
        <w:tc>
          <w:tcPr>
            <w:tcW w:type="dxa" w:w="1399"/>
          </w:tcPr>
          <w:p>
            <w:r>
              <w:t>Public Utility Management</w:t>
            </w:r>
          </w:p>
        </w:tc>
        <w:tc>
          <w:tcPr>
            <w:tcW w:type="dxa" w:w="1399"/>
          </w:tcPr>
          <w:p>
            <w:r>
              <w:t>Utility-sector direct management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not_applicable</w:t>
            </w:r>
          </w:p>
        </w:tc>
        <w:tc>
          <w:tcPr>
            <w:tcW w:type="dxa" w:w="1399"/>
          </w:tcPr>
          <w:p>
            <w:r>
              <w:t>No direct electricity/water utility management role identified in the included public sources.</w:t>
            </w:r>
          </w:p>
        </w:tc>
        <w:tc>
          <w:tcPr>
            <w:tcW w:type="dxa" w:w="1399"/>
          </w:tcPr>
          <w:p>
            <w:r>
              <w:t>SRC001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Public Utility Management</w:t>
            </w:r>
          </w:p>
        </w:tc>
        <w:tc>
          <w:tcPr>
            <w:tcW w:type="dxa" w:w="1399"/>
          </w:tcPr>
          <w:p>
            <w:r>
              <w:t>KEDCO franchise utility management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Daily Trust interview described KEDCO service continuity and safety priorities during COVID-19.</w:t>
            </w:r>
          </w:p>
        </w:tc>
        <w:tc>
          <w:tcPr>
            <w:tcW w:type="dxa" w:w="1399"/>
          </w:tcPr>
          <w:p>
            <w:r>
              <w:t>SRC006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Crisis Handling</w:t>
            </w:r>
          </w:p>
        </w:tc>
        <w:tc>
          <w:tcPr>
            <w:tcW w:type="dxa" w:w="1399"/>
          </w:tcPr>
          <w:p>
            <w:r>
              <w:t>COVID-era electricity service continuity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Interview stated KEDCO maintained public service delivery during COVID-19 and customers saw improved supply.</w:t>
            </w:r>
          </w:p>
        </w:tc>
        <w:tc>
          <w:tcPr>
            <w:tcW w:type="dxa" w:w="1399"/>
          </w:tcPr>
          <w:p>
            <w:r>
              <w:t>SRC006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Infrastructure</w:t>
            </w:r>
          </w:p>
        </w:tc>
        <w:tc>
          <w:tcPr>
            <w:tcW w:type="dxa" w:w="1399"/>
          </w:tcPr>
          <w:p>
            <w:r>
              <w:t>Transformers and feeder construction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project_activity</w:t>
            </w:r>
          </w:p>
        </w:tc>
        <w:tc>
          <w:tcPr>
            <w:tcW w:type="dxa" w:w="1399"/>
          </w:tcPr>
          <w:p>
            <w:r>
              <w:t>Blueprint reported inspection of new transformers/accessories and feeder construction to improve service delivery.</w:t>
            </w:r>
          </w:p>
        </w:tc>
        <w:tc>
          <w:tcPr>
            <w:tcW w:type="dxa" w:w="1399"/>
          </w:tcPr>
          <w:p>
            <w:r>
              <w:t>SRC008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Public Utility Management</w:t>
            </w:r>
          </w:p>
        </w:tc>
        <w:tc>
          <w:tcPr>
            <w:tcW w:type="dxa" w:w="1399"/>
          </w:tcPr>
          <w:p>
            <w:r>
              <w:t>Kano DisCo metering rate</w:t>
            </w:r>
          </w:p>
        </w:tc>
        <w:tc>
          <w:tcPr>
            <w:tcW w:type="dxa" w:w="1399"/>
          </w:tcPr>
          <w:p>
            <w:r>
              <w:t>22.52</w:t>
            </w:r>
          </w:p>
        </w:tc>
        <w:tc>
          <w:tcPr>
            <w:tcW w:type="dxa" w:w="1399"/>
          </w:tcPr>
          <w:p>
            <w:r>
              <w:t>percent</w:t>
            </w:r>
          </w:p>
        </w:tc>
        <w:tc>
          <w:tcPr>
            <w:tcW w:type="dxa" w:w="1399"/>
          </w:tcPr>
          <w:p>
            <w:r>
              <w:t>NERC Q2 2022 report listed Kano DisCo metering performance at 22.52 percent.</w:t>
            </w:r>
          </w:p>
        </w:tc>
        <w:tc>
          <w:tcPr>
            <w:tcW w:type="dxa" w:w="1399"/>
          </w:tcPr>
          <w:p>
            <w:r>
              <w:t>SRC004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Transparency</w:t>
            </w:r>
          </w:p>
        </w:tc>
        <w:tc>
          <w:tcPr>
            <w:tcW w:type="dxa" w:w="1399"/>
          </w:tcPr>
          <w:p>
            <w:r>
              <w:t>Customer complaints context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NERC Q4 2022 reported metering, billing, and interruption were major complaint categories across DisCos.</w:t>
            </w:r>
          </w:p>
        </w:tc>
        <w:tc>
          <w:tcPr>
            <w:tcW w:type="dxa" w:w="1399"/>
          </w:tcPr>
          <w:p>
            <w:r>
              <w:t>SRC005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Economy</w:t>
            </w:r>
          </w:p>
        </w:tc>
        <w:tc>
          <w:tcPr>
            <w:tcW w:type="dxa" w:w="1399"/>
          </w:tcPr>
          <w:p>
            <w:r>
              <w:t>Electricity distribution economic contribution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KEDCO role supports regional commerce through distribution service, but seed data lacks audited economic impact figures.</w:t>
            </w:r>
          </w:p>
        </w:tc>
        <w:tc>
          <w:tcPr>
            <w:tcW w:type="dxa" w:w="1399"/>
          </w:tcPr>
          <w:p>
            <w:r>
              <w:t>SRC007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Youth Empowerment</w:t>
            </w:r>
          </w:p>
        </w:tc>
        <w:tc>
          <w:tcPr>
            <w:tcW w:type="dxa" w:w="1399"/>
          </w:tcPr>
          <w:p>
            <w:r>
              <w:t>Staff training and retraining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Daily Trust reported Gwamna statement that staff training and retraining were part of KEDCO transformation strategy.</w:t>
            </w:r>
          </w:p>
        </w:tc>
        <w:tc>
          <w:tcPr>
            <w:tcW w:type="dxa" w:w="1399"/>
          </w:tcPr>
          <w:p>
            <w:r>
              <w:t>SRC007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Innovation</w:t>
            </w:r>
          </w:p>
        </w:tc>
        <w:tc>
          <w:tcPr>
            <w:tcW w:type="dxa" w:w="1399"/>
          </w:tcPr>
          <w:p>
            <w:r>
              <w:t>Operational modernization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Reported transformer/accessory procurement and feeder construction indicate operational improvement activity.</w:t>
            </w:r>
          </w:p>
        </w:tc>
        <w:tc>
          <w:tcPr>
            <w:tcW w:type="dxa" w:w="1399"/>
          </w:tcPr>
          <w:p>
            <w:r>
              <w:t>SRC008</w:t>
            </w:r>
          </w:p>
        </w:tc>
      </w:tr>
      <w:tr>
        <w:tc>
          <w:tcPr>
            <w:tcW w:type="dxa" w:w="1399"/>
          </w:tcPr>
          <w:p>
            <w:r>
              <w:t>Dr. Jamilu Isyaku Gwamna</w:t>
            </w:r>
          </w:p>
        </w:tc>
        <w:tc>
          <w:tcPr>
            <w:tcW w:type="dxa" w:w="1399"/>
          </w:tcPr>
          <w:p>
            <w:r>
              <w:t>Transparency</w:t>
            </w:r>
          </w:p>
        </w:tc>
        <w:tc>
          <w:tcPr>
            <w:tcW w:type="dxa" w:w="1399"/>
          </w:tcPr>
          <w:p>
            <w:r>
              <w:t>Service delivery pledge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narrative</w:t>
            </w:r>
          </w:p>
        </w:tc>
        <w:tc>
          <w:tcPr>
            <w:tcW w:type="dxa" w:w="1399"/>
          </w:tcPr>
          <w:p>
            <w:r>
              <w:t>TBI Africa reported a service-delivery pledge and staff commitment message by KEDCO MD.</w:t>
            </w:r>
          </w:p>
        </w:tc>
        <w:tc>
          <w:tcPr>
            <w:tcW w:type="dxa" w:w="1399"/>
          </w:tcPr>
          <w:p>
            <w:r>
              <w:t>SRC009</w:t>
            </w:r>
          </w:p>
        </w:tc>
      </w:tr>
    </w:tbl>
    <w:p>
      <w:pPr>
        <w:pStyle w:val="Heading1"/>
      </w:pPr>
      <w:r>
        <w:t>Limitations</w:t>
      </w:r>
    </w:p>
    <w:p>
      <w:pPr>
        <w:pStyle w:val="ListBullet"/>
      </w:pPr>
      <w:r>
        <w:t>Sector-level outcomes are not treated as sole-person causation.</w:t>
      </w:r>
    </w:p>
    <w:p>
      <w:pPr>
        <w:pStyle w:val="ListBullet"/>
      </w:pPr>
      <w:r>
        <w:t>Media interviews are useful public records but carry lower confidence than regulator datasets.</w:t>
      </w:r>
    </w:p>
    <w:p>
      <w:pPr>
        <w:pStyle w:val="ListBullet"/>
      </w:pPr>
      <w:r>
        <w:t>Missing public data is reported as a limitation and is not interpreted as poor performance.</w:t>
      </w:r>
    </w:p>
    <w:p>
      <w:pPr>
        <w:pStyle w:val="ListBullet"/>
      </w:pPr>
      <w:r>
        <w:t>Users should verify source links and update datasets before formal publication.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F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F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B1F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