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Governance Analytics Methodology</w:t>
      </w:r>
    </w:p>
    <w:p>
      <w:pPr>
        <w:jc w:val="center"/>
      </w:pPr>
      <w:r>
        <w:rPr>
          <w:color w:val="4B5563"/>
          <w:sz w:val="22"/>
        </w:rPr>
        <w:t>Data cleaning, KPI generation, scoring formula, and interpretation guidance</w:t>
      </w:r>
    </w:p>
    <w:p>
      <w:r>
        <w:t>This project is an independent governance analytics and civic-tech research platform based on publicly available information.</w:t>
      </w:r>
    </w:p>
    <w:p>
      <w:pPr>
        <w:pStyle w:val="Heading1"/>
      </w:pPr>
      <w:r>
        <w:t>Data Model</w:t>
      </w:r>
    </w:p>
    <w:p>
      <w:r>
        <w:t>The platform uses an evidence ledger. Each row contains a person, role period, category, indicator, metric value where available, source id, evidence type, confidence score, and attribution note.</w:t>
      </w:r>
    </w:p>
    <w:p>
      <w:pPr>
        <w:pStyle w:val="Heading1"/>
      </w:pPr>
      <w:r>
        <w:t>Cleaning Rules</w:t>
      </w:r>
    </w:p>
    <w:p>
      <w:pPr>
        <w:pStyle w:val="ListBullet"/>
      </w:pPr>
      <w:r>
        <w:t>Standardize leader names and category labels.</w:t>
      </w:r>
    </w:p>
    <w:p>
      <w:pPr>
        <w:pStyle w:val="ListBullet"/>
      </w:pPr>
      <w:r>
        <w:t>Preserve missing metric values as blanks rather than replacing them with fabricated values.</w:t>
      </w:r>
    </w:p>
    <w:p>
      <w:pPr>
        <w:pStyle w:val="ListBullet"/>
      </w:pPr>
      <w:r>
        <w:t>Join evidence rows to source records by source_id.</w:t>
      </w:r>
    </w:p>
    <w:p>
      <w:pPr>
        <w:pStyle w:val="ListBullet"/>
      </w:pPr>
      <w:r>
        <w:t>Flag quantitative, contextual, and insufficient-public-evidence rows separately.</w:t>
      </w:r>
    </w:p>
    <w:p>
      <w:pPr>
        <w:pStyle w:val="Heading1"/>
      </w:pPr>
      <w:r>
        <w:t>Scoring Formula</w:t>
      </w:r>
    </w:p>
    <w:p>
      <w:r>
        <w:t>Evidence score is based on evidence type and confidence:</w:t>
      </w:r>
    </w:p>
    <w:p>
      <w:r>
        <w:t>Quantitative rows receive the strongest base score; project reports and regulator context receive medium base scores; qualitative interview or narrative rows receive lower base scores.</w:t>
      </w:r>
    </w:p>
    <w:p>
      <w:r>
        <w:t>category_score = average(evidence_score for scored rows in that category)</w:t>
      </w:r>
    </w:p>
    <w:p>
      <w:r>
        <w:t>weighted_points = category_score * category_weight</w:t>
      </w:r>
    </w:p>
    <w:p>
      <w:r>
        <w:t>overall_governance_score = sum(weighted_points across all categories)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color w:val="0B1F3A"/>
              </w:rPr>
              <w:t>category</w:t>
            </w:r>
          </w:p>
        </w:tc>
        <w:tc>
          <w:tcPr>
            <w:tcW w:type="dxa" w:w="3264"/>
          </w:tcPr>
          <w:p>
            <w:r>
              <w:rPr>
                <w:b/>
                <w:color w:val="0B1F3A"/>
              </w:rPr>
              <w:t>weight</w:t>
            </w:r>
          </w:p>
        </w:tc>
        <w:tc>
          <w:tcPr>
            <w:tcW w:type="dxa" w:w="3264"/>
          </w:tcPr>
          <w:p>
            <w:r>
              <w:rPr>
                <w:b/>
                <w:color w:val="0B1F3A"/>
              </w:rPr>
              <w:t>definition</w:t>
            </w:r>
          </w:p>
        </w:tc>
      </w:tr>
      <w:tr>
        <w:tc>
          <w:tcPr>
            <w:tcW w:type="dxa" w:w="3264"/>
          </w:tcPr>
          <w:p>
            <w:r>
              <w:t>Infrastructure</w:t>
            </w:r>
          </w:p>
        </w:tc>
        <w:tc>
          <w:tcPr>
            <w:tcW w:type="dxa" w:w="3264"/>
          </w:tcPr>
          <w:p>
            <w:r>
              <w:t>0.2</w:t>
            </w:r>
          </w:p>
        </w:tc>
        <w:tc>
          <w:tcPr>
            <w:tcW w:type="dxa" w:w="3264"/>
          </w:tcPr>
          <w:p>
            <w:r>
              <w:t>Physical/digital infrastructure delivery, access expansion, project implementation, and infrastructure reliability evidence.</w:t>
            </w:r>
          </w:p>
        </w:tc>
      </w:tr>
      <w:tr>
        <w:tc>
          <w:tcPr>
            <w:tcW w:type="dxa" w:w="3264"/>
          </w:tcPr>
          <w:p>
            <w:r>
              <w:t>Economy</w:t>
            </w:r>
          </w:p>
        </w:tc>
        <w:tc>
          <w:tcPr>
            <w:tcW w:type="dxa" w:w="3264"/>
          </w:tcPr>
          <w:p>
            <w:r>
              <w:t>0.2</w:t>
            </w:r>
          </w:p>
        </w:tc>
        <w:tc>
          <w:tcPr>
            <w:tcW w:type="dxa" w:w="3264"/>
          </w:tcPr>
          <w:p>
            <w:r>
              <w:t>Contribution to economic output, revenue, market development, productivity, and measurable sector growth.</w:t>
            </w:r>
          </w:p>
        </w:tc>
      </w:tr>
      <w:tr>
        <w:tc>
          <w:tcPr>
            <w:tcW w:type="dxa" w:w="3264"/>
          </w:tcPr>
          <w:p>
            <w:r>
              <w:t>Youth Empowerment</w:t>
            </w:r>
          </w:p>
        </w:tc>
        <w:tc>
          <w:tcPr>
            <w:tcW w:type="dxa" w:w="3264"/>
          </w:tcPr>
          <w:p>
            <w:r>
              <w:t>0.2</w:t>
            </w:r>
          </w:p>
        </w:tc>
        <w:tc>
          <w:tcPr>
            <w:tcW w:type="dxa" w:w="3264"/>
          </w:tcPr>
          <w:p>
            <w:r>
              <w:t>Digital skills, jobs, training, enterprise support, and youth-focused capacity-building outcomes.</w:t>
            </w:r>
          </w:p>
        </w:tc>
      </w:tr>
      <w:tr>
        <w:tc>
          <w:tcPr>
            <w:tcW w:type="dxa" w:w="3264"/>
          </w:tcPr>
          <w:p>
            <w:r>
              <w:t>Crisis Handling</w:t>
            </w:r>
          </w:p>
        </w:tc>
        <w:tc>
          <w:tcPr>
            <w:tcW w:type="dxa" w:w="3264"/>
          </w:tcPr>
          <w:p>
            <w:r>
              <w:t>0.15</w:t>
            </w:r>
          </w:p>
        </w:tc>
        <w:tc>
          <w:tcPr>
            <w:tcW w:type="dxa" w:w="3264"/>
          </w:tcPr>
          <w:p>
            <w:r>
              <w:t>Measured continuity, responsiveness, risk reduction, and service delivery during shocks or crises.</w:t>
            </w:r>
          </w:p>
        </w:tc>
      </w:tr>
      <w:tr>
        <w:tc>
          <w:tcPr>
            <w:tcW w:type="dxa" w:w="3264"/>
          </w:tcPr>
          <w:p>
            <w:r>
              <w:t>Transparency</w:t>
            </w:r>
          </w:p>
        </w:tc>
        <w:tc>
          <w:tcPr>
            <w:tcW w:type="dxa" w:w="3264"/>
          </w:tcPr>
          <w:p>
            <w:r>
              <w:t>0.1</w:t>
            </w:r>
          </w:p>
        </w:tc>
        <w:tc>
          <w:tcPr>
            <w:tcW w:type="dxa" w:w="3264"/>
          </w:tcPr>
          <w:p>
            <w:r>
              <w:t>Evidence quality, public reporting, auditability, open records, consumer protection, and verifiable accountability.</w:t>
            </w:r>
          </w:p>
        </w:tc>
      </w:tr>
      <w:tr>
        <w:tc>
          <w:tcPr>
            <w:tcW w:type="dxa" w:w="3264"/>
          </w:tcPr>
          <w:p>
            <w:r>
              <w:t>Public Utility Management</w:t>
            </w:r>
          </w:p>
        </w:tc>
        <w:tc>
          <w:tcPr>
            <w:tcW w:type="dxa" w:w="3264"/>
          </w:tcPr>
          <w:p>
            <w:r>
              <w:t>0.1</w:t>
            </w:r>
          </w:p>
        </w:tc>
        <w:tc>
          <w:tcPr>
            <w:tcW w:type="dxa" w:w="3264"/>
          </w:tcPr>
          <w:p>
            <w:r>
              <w:t>Management of regulated public utility or essential-service institutions and measurable user outcomes.</w:t>
            </w:r>
          </w:p>
        </w:tc>
      </w:tr>
      <w:tr>
        <w:tc>
          <w:tcPr>
            <w:tcW w:type="dxa" w:w="3264"/>
          </w:tcPr>
          <w:p>
            <w:r>
              <w:t>Innovation</w:t>
            </w:r>
          </w:p>
        </w:tc>
        <w:tc>
          <w:tcPr>
            <w:tcW w:type="dxa" w:w="3264"/>
          </w:tcPr>
          <w:p>
            <w:r>
              <w:t>0.05</w:t>
            </w:r>
          </w:p>
        </w:tc>
        <w:tc>
          <w:tcPr>
            <w:tcW w:type="dxa" w:w="3264"/>
          </w:tcPr>
          <w:p>
            <w:r>
              <w:t>Policy, technology, institutional process, or service-design innovation backed by public evidence.</w:t>
            </w:r>
          </w:p>
        </w:tc>
      </w:tr>
    </w:tbl>
    <w:p>
      <w:pPr>
        <w:pStyle w:val="Heading1"/>
      </w:pPr>
      <w:r>
        <w:t>Interpretation</w:t>
      </w:r>
    </w:p>
    <w:p>
      <w:r>
        <w:t>The model rewards verifiable, source-backed evidence and penalizes missing coverage by not awarding positive points for unsupported categories. It is not a popularity model and does not measure private virtue.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