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EBD5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МІНІСТЕРСТВО ОСВІТИ І НАУКИ УКРАЇНИ</w:t>
      </w:r>
    </w:p>
    <w:p w14:paraId="4221D98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ДЕРЖАВНИЙ УНІВЕРСИТЕТ «ЖИТОМИРСЬКА ПОЛІТЕХНІКА»</w:t>
      </w:r>
    </w:p>
    <w:p w14:paraId="27F1D89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інженерії програмного забезпечення</w:t>
      </w:r>
    </w:p>
    <w:p w14:paraId="2EBD2D1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69E4424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Теорія ймовірностей і математична статистика</w:t>
      </w:r>
    </w:p>
    <w:p w14:paraId="040F960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67921CC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7F38845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2839B50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3B527A2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3DD1298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0EA4031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4518106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>Звіт</w:t>
      </w:r>
    </w:p>
    <w:p w14:paraId="059D5B3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240" w:lineRule="auto"/>
        <w:ind w:firstLine="0" w:firstLineChars="0"/>
        <w:jc w:val="center"/>
        <w:textAlignment w:val="auto"/>
        <w:rPr>
          <w:rFonts w:hint="default" w:cs="Times New Roman"/>
          <w:b/>
          <w:bCs/>
          <w:color w:val="000000"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з </w:t>
      </w:r>
      <w:r>
        <w:rPr>
          <w:rFonts w:cs="Times New Roman"/>
          <w:b/>
          <w:bCs/>
          <w:color w:val="000000"/>
          <w:sz w:val="40"/>
          <w:szCs w:val="40"/>
          <w:lang w:val="uk-UA"/>
        </w:rPr>
        <w:t>практики</w:t>
      </w:r>
      <w:r>
        <w:rPr>
          <w:rFonts w:hint="default" w:cs="Times New Roman"/>
          <w:b/>
          <w:bCs/>
          <w:color w:val="000000"/>
          <w:sz w:val="40"/>
          <w:szCs w:val="40"/>
          <w:lang w:val="uk-UA"/>
        </w:rPr>
        <w:t xml:space="preserve"> №5 на тему:</w:t>
      </w:r>
    </w:p>
    <w:p w14:paraId="297EC24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hint="default" w:cs="Times New Roman"/>
          <w:b/>
          <w:bCs/>
          <w:color w:val="000000"/>
          <w:sz w:val="40"/>
          <w:szCs w:val="40"/>
          <w:lang w:val="uk-UA"/>
        </w:rPr>
      </w:pPr>
      <w:r>
        <w:rPr>
          <w:rFonts w:hint="default" w:cs="Times New Roman"/>
          <w:b/>
          <w:bCs/>
          <w:color w:val="000000"/>
          <w:sz w:val="40"/>
          <w:szCs w:val="40"/>
          <w:lang w:val="uk-UA"/>
        </w:rPr>
        <w:t>«Неперервні випадкові величини, закони розподілу та статистичне</w:t>
      </w:r>
    </w:p>
    <w:p w14:paraId="41A7AC5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hint="default" w:cs="Times New Roman"/>
          <w:b/>
          <w:bCs/>
          <w:color w:val="000000"/>
          <w:sz w:val="40"/>
          <w:szCs w:val="40"/>
          <w:lang w:val="uk-UA"/>
        </w:rPr>
      </w:pPr>
      <w:r>
        <w:rPr>
          <w:rFonts w:hint="default" w:cs="Times New Roman"/>
          <w:b/>
          <w:bCs/>
          <w:color w:val="000000"/>
          <w:sz w:val="40"/>
          <w:szCs w:val="40"/>
          <w:lang w:val="uk-UA"/>
        </w:rPr>
        <w:t>моделювання в аналізі продуктивності ПЗ»</w:t>
      </w:r>
    </w:p>
    <w:p w14:paraId="3960E07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hint="default" w:cs="Times New Roman"/>
          <w:b/>
          <w:bCs/>
          <w:color w:val="000000"/>
          <w:sz w:val="40"/>
          <w:szCs w:val="40"/>
          <w:lang w:val="uk-UA"/>
        </w:rPr>
      </w:pPr>
    </w:p>
    <w:p w14:paraId="7A63C1FB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240" w:lineRule="auto"/>
        <w:ind w:left="4395" w:firstLine="0" w:firstLineChars="0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2EFA5689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left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554B784E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left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3D0F3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395" w:firstLine="0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ІІ курсу групи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ІПЗ-25-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1</w:t>
      </w:r>
    </w:p>
    <w:p w14:paraId="0B5F67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395" w:firstLine="0" w:firstLineChars="0"/>
        <w:jc w:val="left"/>
        <w:textAlignment w:val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спеціальності 121 «Інженерія програмного забезпечення»</w:t>
      </w:r>
    </w:p>
    <w:p w14:paraId="70AA2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395" w:firstLine="0" w:firstLineChars="0"/>
        <w:jc w:val="left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val="uk-UA" w:eastAsia="ru-RU"/>
        </w:rPr>
        <w:t>Міхневич</w:t>
      </w:r>
      <w:r>
        <w:rPr>
          <w:rFonts w:eastAsia="Times New Roman" w:cs="Times New Roman"/>
          <w:sz w:val="28"/>
          <w:szCs w:val="28"/>
          <w:highlight w:val="none"/>
          <w:u w:val="single"/>
          <w:lang w:val="uk-UA" w:eastAsia="ru-RU"/>
        </w:rPr>
        <w:t>а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u w:val="single"/>
          <w:lang w:val="uk-UA" w:eastAsia="ru-RU"/>
        </w:rPr>
        <w:t xml:space="preserve"> Данил</w:t>
      </w:r>
      <w:r>
        <w:rPr>
          <w:rFonts w:hint="default" w:eastAsia="Times New Roman" w:cs="Times New Roman"/>
          <w:sz w:val="28"/>
          <w:szCs w:val="28"/>
          <w:highlight w:val="none"/>
          <w:u w:val="single"/>
          <w:lang w:val="uk-UA" w:eastAsia="ru-RU"/>
        </w:rPr>
        <w:t>а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u w:val="single"/>
          <w:lang w:val="uk-UA" w:eastAsia="ru-RU"/>
        </w:rPr>
        <w:t xml:space="preserve"> Леонідович</w:t>
      </w:r>
      <w:r>
        <w:rPr>
          <w:rFonts w:hint="default" w:eastAsia="Times New Roman" w:cs="Times New Roman"/>
          <w:sz w:val="28"/>
          <w:szCs w:val="28"/>
          <w:highlight w:val="none"/>
          <w:u w:val="single"/>
          <w:lang w:val="uk-UA" w:eastAsia="ru-RU"/>
        </w:rPr>
        <w:t>а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</w:p>
    <w:p w14:paraId="225D457D">
      <w:pPr>
        <w:keepNext w:val="0"/>
        <w:keepLines w:val="0"/>
        <w:pageBreakBefore w:val="0"/>
        <w:widowControl/>
        <w:tabs>
          <w:tab w:val="center" w:pos="694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 w:firstLineChars="0"/>
        <w:jc w:val="left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(прізвище, ім’я та по-батькові)</w:t>
      </w:r>
    </w:p>
    <w:p w14:paraId="6F3F8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969" w:firstLine="0" w:firstLineChars="0"/>
        <w:jc w:val="left"/>
        <w:textAlignment w:val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62DC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Перевірив: Лисенко Максим Сергійови</w:t>
      </w:r>
    </w:p>
    <w:p w14:paraId="4D52D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72577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00B94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31936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42900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7ECBC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62344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20D7F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056C3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25B48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25E02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2B3A4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639FA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  <w:sectPr>
          <w:footerReference r:id="rId5" w:type="default"/>
          <w:pgSz w:w="11906" w:h="16838"/>
          <w:pgMar w:top="850" w:right="850" w:bottom="850" w:left="1417" w:header="708" w:footer="272" w:gutter="0"/>
          <w:pgNumType w:start="1"/>
          <w:cols w:space="0" w:num="1"/>
          <w:rtlGutter w:val="0"/>
          <w:docGrid w:linePitch="360" w:charSpace="0"/>
        </w:sectPr>
      </w:pPr>
      <w:r>
        <w:rPr>
          <w:rFonts w:cs="Times New Roman"/>
          <w:sz w:val="28"/>
          <w:szCs w:val="28"/>
          <w:lang w:val="uk-UA"/>
        </w:rPr>
        <w:t>Ж</w:t>
      </w:r>
      <w:r>
        <w:rPr>
          <w:rFonts w:ascii="Times New Roman" w:hAnsi="Times New Roman" w:cs="Times New Roman"/>
          <w:sz w:val="28"/>
          <w:szCs w:val="28"/>
        </w:rPr>
        <w:t>итомир – 2026</w:t>
      </w:r>
    </w:p>
    <w:p w14:paraId="4E2D6DB3">
      <w:pPr>
        <w:keepNext/>
        <w:spacing w:before="120" w:after="80" w:line="276" w:lineRule="auto"/>
        <w:ind w:firstLine="709"/>
        <w:jc w:val="both"/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  <w:t>1. Мета та постановка завдання</w:t>
      </w:r>
    </w:p>
    <w:p w14:paraId="7045D177">
      <w:pPr>
        <w:spacing w:before="0" w:after="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  <w:t xml:space="preserve">Мета: </w:t>
      </w: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засвоїти практичні навички моделювання неперервних випадкових величин (НВВ), вивчити методи побудови та графічного аналізу функції розподілу F(x) і щільності ймовірності f(x); навчитися обчислювати точкові статистичні характеристики (M[X], D[X], σ[X], квантилі/перцентилі p50, p90, p95, p99) та емпірично перевіряти Закон великих чисел (ЗВЧ) і Центральну граничну теорему (ЦГТ) мовами програмування високого рівня.</w:t>
      </w:r>
    </w:p>
    <w:p w14:paraId="04FEFC9C">
      <w:pPr>
        <w:spacing w:before="0" w:after="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  <w:t xml:space="preserve">Постановка завдання: </w:t>
      </w: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Написати скрипти мовою C#, які реалізують чотири логічні блоки: програмну перевірку Центральної граничної теореми (ЦГТ) шляхом підсумовування рівномірно розподілених випадкових величин, аналіз неперервної випадкової величини часу напрацювання сервера на відмову</w:t>
      </w:r>
      <w:r>
        <w:rPr>
          <w:rFonts w:hint="default" w:eastAsia="SimSun" w:cs="Times New Roman"/>
          <w:b w:val="0"/>
          <w:color w:val="000000"/>
          <w:sz w:val="28"/>
          <w:szCs w:val="22"/>
          <w:lang w:val="uk-UA"/>
        </w:rPr>
        <w:t xml:space="preserve"> </w:t>
      </w: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за показниковим законом (Варіант №2), перцентильний аналіз затримок програмної системи для суміші нормального і показникового розподілів, а також оцінку ймовірності безперебійної роботи джерела живлення понад 6 годин (Варіант №2).</w:t>
      </w:r>
    </w:p>
    <w:p w14:paraId="6D3EF68F">
      <w:pPr>
        <w:keepNext/>
        <w:spacing w:before="120" w:after="80" w:line="276" w:lineRule="auto"/>
        <w:ind w:firstLine="0"/>
        <w:jc w:val="center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  <w:t>Хід роботи:</w:t>
      </w:r>
    </w:p>
    <w:p w14:paraId="060D2101">
      <w:pPr>
        <w:keepNext/>
        <w:spacing w:before="120" w:after="8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  <w:t>2. Математична модель (Теоретичні розрахунки)</w:t>
      </w:r>
    </w:p>
    <w:p w14:paraId="4743F5A6">
      <w:pPr>
        <w:spacing w:before="0" w:after="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  <w:t xml:space="preserve">Блок 1. Програмна перевірка Центральної Граничної Теореми (ЦГТ). </w:t>
      </w: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На відміну від дискретних величин (які приймають лише окремі ізольовані значення, як кількість патронів у магазині), неперервна випадкова величина (НВВ) може набувати будь-якого дробового значення на проміжку (як точний час польоту кулі або температура процесора). Розглядається сума Sk з k незалежних величин Xi, кожна з яких рівномірно розподілена на відрізку від 0 до 1: U(0, 1). Для однієї такої величини математичне сподівання (середнє очікуване значення, центр ваги) становить M[X] = (0 + 1) / 2 = 0.5, а дисперсія (міра розкиду значень навколо середнього) дорівнює D[X] = (1 - 0)^2 / 12 = 1 / 12 = 0.08333. Для суми з k доданків середнє дорівнює 0.5 * k, а дисперсія дорівнює k / 12. Якщо відняти від суми її середнє і поділити на середньоквадратичне відхилення (корінь із дисперсії), отримаємо стандартизовану суму Zk = (Sk - 0.5 * k) / корінь(k / 12). За Центральною граничною теоремою (фундаментальним законом, за яким сума багатьох дрібних незалежних випадкових факторів завжди складається у плавний дзвоноподібний купол), при зростанні k розподіл величини Zk наближається до стандартного нормального розподілу N(0, 1) з середнім 0 та дисперсією 1. При цьому коефіцієнт асиметрії Skewness (показник скошеності графіка вліво чи вправо) та коефіцієнт ексцесу Kurtosis (міра плосковерхості або гостроверхості купола порівняно з нормальним дзвоном; для чистого рівномірного розподілу при k = 1 він дорівнює -1.20) повинні прямувати до нуля.</w:t>
      </w:r>
    </w:p>
    <w:p w14:paraId="3A245DEB">
      <w:pPr>
        <w:spacing w:before="0" w:after="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  <w:t xml:space="preserve">Блок 2. Аналіз НВВ за варіантом: MTBF сервера (Варіант 2). </w:t>
      </w: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Час безвідмовної роботи сервера між збоями (MTBF) моделюється показниковим законом розподілу Exp(lambda) з інтенсивністю відмов lambda = 0.05 відмов за годину. Показниковий закон описує час очікування до першої аварії в системі без «старіння» (як очікування раптового пробою конденсатора). Щільність ймовірності (функція, що показує, наскільки густо скупчені відмови в кожній точці часу) має вигляд f(x) = 0.05 * exp(-0.05 * x), а функція розподілу (ймовірність того, що сервер впаде до моменту x) дорівнює F(x) = 1 - exp(-0.05 * x). Теоретичне математичне сподівання (середній час життя сервера до збою) дорівнює M[X] = 1 / lambda = 1 / 0.05 = 20 годин. Теоретична дисперсія становить D[X] = 1 / lambda^2 = 1 / 0.0025 = 400 год^2, а середньоквадратичне відхилення (стандартний розмах коливань часу) sigma[X] = корінь(400) = 20 годин. Ймовірність того, що сервер пропрацює без жодного збою більше ніж 30 годин поспіль, становить: P(X &gt; 30) = 1 - F(30) = exp(-0.05 * 30) = exp(-1.5) = 0.22313 (або 22.31%). Для генерації показникової величини у C# з базового рівномірного числа u використовується метод оберненої функції: X = -ln(1 - u) / lambda.</w:t>
      </w:r>
    </w:p>
    <w:p w14:paraId="3192D1D8">
      <w:pPr>
        <w:spacing w:before="0" w:after="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  <w:t xml:space="preserve">Блок 3. Перцентильний аналіз затримок ПЗ — Latency Tail Analysis. </w:t>
      </w: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У реальних веб-сервісах затримка відповіді сервера неоднорідна і поводиться як рух на трасі: 90% часу трафік їде штатно зі стабільною швидкістю за нормальним законом X1 ~ N(20, 4^2) мс (середній час 20 мс, стандартне відхилення sigma = 4 мс, дисперсія 16), але у 10% випадків стається «затор» — запускається прибиральник сміття пам'яті (Garbage Collector) або важкий дисковий запит за показниковим законом X2 ~ Exp(0.01) із середнім часом M[X2] = 1 / 0.01 = 100 мс та дисперсією D[X2] = 10 000 мс^2. Тоді теоретичне середнє всієї суміші становить: M[X] = 0.90 * 20 + 0.10 * 100 = 18 + 10 = 28.0 мс. Проте саме лише середнє значення вводить інженера в оману, бо воно маскує рідкісні екстремальні підвисання («важкий хвіст» розподілу). Для чесної оцінки використовують квантилі або перцентилі (межі затримки p50, p90, p95, p99, які показують час, у який вкладається 50%, 90%, 95% або 99% усіх запитів відповідно). Зокрема, медіана p50 показує типову затримку звичайного користувача (близько 20.36 мс), тоді як перцентиль p99 виявляє найгірший 1% запитів, де затримка перевищує 237 мс.</w:t>
      </w:r>
    </w:p>
    <w:p w14:paraId="1CE2CC79">
      <w:pPr>
        <w:spacing w:before="0" w:after="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  <w:t xml:space="preserve">Блок 4. Час автономної роботи від UPS (Варіант 2). </w:t>
      </w: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Після вимкнення основного живлення серверна стійка переходить на акумулятор джерела безперебійного живлення (UPS). Час автономної роботи до виснаження батареї під випадковим навантаженням описується показниковим законом Exp(lambda) з параметром інтенсивності lambda = 0.25 год^-1. Це означає, що середній час автономного тримання заряду становить M[X] = 1 / 0.25 = 4.0 години (дисперсія D[X] = 1 / 0.25^2 = 16 год^2, стандартне відхилення sigma = 4.0 години). За умовою задачі необхідно знайти ймовірність того, що UPS витримає понад 6 годин: P(X &gt; 6) = exp(-0.25 * 6) = exp(-1.5) = 0.22313 (або 22.31%).</w:t>
      </w:r>
    </w:p>
    <w:p w14:paraId="1F76A2C7">
      <w:pPr>
        <w:keepNext/>
        <w:spacing w:before="120" w:after="8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  <w:t>3. Опис програмної реалізації</w:t>
      </w:r>
    </w:p>
    <w:p w14:paraId="47E8084E">
      <w:pPr>
        <w:spacing w:before="0" w:after="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Роботу виконано мовою C# на платформі .NET. Кожен із чотирьох блоків оформлено в окремому файлі (Block1.cs, Block2.cs, Block3.cs, Block4.cs), які викликаються з головного модуля Program.cs. Усі випадкові вибірки обсягом N = 100 000 елементів генеруються на базі єдиного генератора Random(42). Оскільки стандартна бібліотека C# надає лише рівномірний розподіл NextDouble() на інтервалі [0, 1), для моделювання показникового розподілу реалізовано формулу оберненої функції -Math.Log(1.0 - u) / lambda, а для нормального закону N(mu, sigma^2) — класичне перетворення Бокса-Мюллера через логарифм і косинус двох незалежних рівномірних чисел. Для пошуку перцентилів p50, p90, p95, p99 масив із 100 000 затримок сортується методом Array.Sort() із вибіркою елементів за відповідними індексами.</w:t>
      </w:r>
    </w:p>
    <w:p w14:paraId="68E88DE8">
      <w:pPr>
        <w:spacing w:before="0" w:after="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  <w:t xml:space="preserve">Посилання на репозиторій GitHub: </w:t>
      </w: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https://github.com/Diktos/Probability-Theory-Practices/tree/main</w:t>
      </w:r>
    </w:p>
    <w:p w14:paraId="5BD09328">
      <w:pPr>
        <w:keepNext/>
        <w:spacing w:before="120" w:after="8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  <w:t>4. Результати експериментів</w:t>
      </w:r>
    </w:p>
    <w:p w14:paraId="7DFED507">
      <w:pPr>
        <w:spacing w:before="40" w:after="120" w:line="276" w:lineRule="auto"/>
        <w:ind w:firstLine="0"/>
        <w:jc w:val="center"/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</w:pPr>
      <w:r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  <w:drawing>
          <wp:inline distT="0" distB="0" distL="114300" distR="114300">
            <wp:extent cx="5534025" cy="990600"/>
            <wp:effectExtent l="0" t="0" r="9525" b="0"/>
            <wp:docPr id="1" name="Изображение 1" descr="VsDebugConsole_HQOt6XrZ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VsDebugConsole_HQOt6XrZrk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BA65">
      <w:pPr>
        <w:spacing w:before="40" w:after="120" w:line="276" w:lineRule="auto"/>
        <w:ind w:firstLine="0"/>
        <w:jc w:val="center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  <w:t>Рисунок 1. Результати програмної перевірки Центральної граничної теореми (Блок 1)</w:t>
      </w:r>
    </w:p>
    <w:p w14:paraId="31D749AF">
      <w:pPr>
        <w:spacing w:before="0" w:after="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Аналіз результатів та графіка до блоку №1: за результатами комп'ютерної симуляції N = 100 000 випробувань наочно підтверджується дія Центральної граничної теореми. Для всіх значень кількості доданків k вибіркове середнє M[Z] тримається впритул до теоретичного нуля (при k = 1 становить -0.00027, при k = 2 дорівнює 0.00024, при k = 5 становить -0.00417, при k = 12 дорівнює 0.00100, при k = 30 становить -0.00119), а вибіркова дисперсія D[Z] тримається біля теоретичної одиниці (1.00281, 0.99772, 1.00711, 0.99949 та 0.99948 відповідно). Коефіцієнт асиметрії Skewness (показник перекосу графіка вліво чи вправо) всюди близький до нуля (від -0.00058 при k = 1 до 0.00189 при k = 30), бо сам рівномірний розподіл симетричний. Найкраще перетворення форми видно за коефіцієнтом ексцесу Kurtosis (показником гостроверхості купола): при k = 1 графік плоский, як цеглина, тому ексцес становить -1.20615 (теорія -1.20000); при k = 2 (трикутний розподіл) він зменшується вдвічі до -0.59863; при k = 5 падає до -0.23391; при k = 12 становить -0.09246, а при k = 30 скорочується до -0.04493, тобто розподіл суми практично збігся до плавного нормального дзвона N(0, 1).</w:t>
      </w:r>
    </w:p>
    <w:p w14:paraId="21C9D710">
      <w:pPr>
        <w:spacing w:before="40" w:after="120" w:line="276" w:lineRule="auto"/>
        <w:ind w:firstLine="0"/>
        <w:jc w:val="center"/>
        <w:rPr>
          <w:rFonts w:eastAsia="SimSun" w:cs="Times New Roman"/>
          <w:color w:val="000000"/>
          <w:szCs w:val="22"/>
          <w:lang w:val="en-US"/>
        </w:rPr>
      </w:pPr>
      <w:r>
        <w:drawing>
          <wp:inline distT="0" distB="0" distL="114300" distR="114300">
            <wp:extent cx="6118860" cy="3581400"/>
            <wp:effectExtent l="4445" t="4445" r="10795" b="14605"/>
            <wp:docPr id="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  <w:t>Рисунок 2. Графік збіжності емпіричної щільності суми Zk до нормального розподілу N(0, 1)</w:t>
      </w:r>
    </w:p>
    <w:p w14:paraId="3C911047">
      <w:pPr>
        <w:spacing w:before="40" w:after="120" w:line="276" w:lineRule="auto"/>
        <w:ind w:firstLine="0"/>
        <w:jc w:val="center"/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</w:pPr>
      <w:r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  <w:drawing>
          <wp:inline distT="0" distB="0" distL="114300" distR="114300">
            <wp:extent cx="4410075" cy="819150"/>
            <wp:effectExtent l="0" t="0" r="9525" b="0"/>
            <wp:docPr id="2" name="Изображение 2" descr="VsDebugConsole_pPvu1HBcw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VsDebugConsole_pPvu1HBcwU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3874">
      <w:pPr>
        <w:spacing w:before="40" w:after="120" w:line="276" w:lineRule="auto"/>
        <w:ind w:firstLine="0"/>
        <w:jc w:val="center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  <w:t>Рисунок 3. Результати статистичного моделювання часу безвідмовної роботи сервера (Блок 2, Варіант 2)</w:t>
      </w:r>
    </w:p>
    <w:p w14:paraId="7A01514C">
      <w:pPr>
        <w:spacing w:before="0" w:after="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Аналіз результатів та графіка до блоку №2 (Варіант 2): під час моделювання N = 100 000 запусків сервера з інтенсивністю відмов lambda = 0.05 год^-1 отримано вибірковий середній час роботи до збою M[X] = 19.98045 год, що майже ідеально збігається з теоретичним значенням 20.00000 год (абсолютна похибка становить лише 0.01955 год). Вибіркова дисперсія (квадрат розкиду значень) склала D[X] = 396.13985 при теоретичній 400.00000 (похибка 3.86015), а середньоквадратичне відхилення sigma[X] = 19.90326 год проти теоретичних 20.00000 год (похибка 0.09674 год). Статистична частота того, що сервер відпрацює без аварій понад 30 годин поспіль, склала P(X &gt; 30) стат = 0.22435 при теоретичному значенні 0.22313 (похибка становить всього 0.00122).</w:t>
      </w:r>
    </w:p>
    <w:p w14:paraId="2D71CCF4">
      <w:pPr>
        <w:spacing w:before="40" w:after="120" w:line="276" w:lineRule="auto"/>
        <w:ind w:firstLine="0"/>
        <w:jc w:val="center"/>
      </w:pPr>
      <w:r>
        <w:drawing>
          <wp:inline distT="0" distB="0" distL="114300" distR="114300">
            <wp:extent cx="5462270" cy="3599180"/>
            <wp:effectExtent l="4445" t="4445" r="19685" b="15875"/>
            <wp:docPr id="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E9BE2BE">
      <w:pPr>
        <w:spacing w:before="40" w:after="120" w:line="276" w:lineRule="auto"/>
        <w:ind w:firstLine="0"/>
        <w:jc w:val="center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  <w:t>Рисунок 4. Графік емпіричної та теоретичної щільності ймовірності f(x) для розподілу Exp(0.05)</w:t>
      </w:r>
    </w:p>
    <w:p w14:paraId="55F5DD1F">
      <w:pPr>
        <w:spacing w:before="40" w:after="120" w:line="276" w:lineRule="auto"/>
        <w:ind w:firstLine="0"/>
        <w:jc w:val="center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  <w:drawing>
          <wp:inline distT="0" distB="0" distL="114300" distR="114300">
            <wp:extent cx="6116955" cy="531495"/>
            <wp:effectExtent l="0" t="0" r="17145" b="1905"/>
            <wp:docPr id="3" name="Изображение 3" descr="VsDebugConsole_XC3Z8M0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VsDebugConsole_XC3Z8M0n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  <w:t>Рисунок 5. Результати перцентильного аналізу затримок Latency Tail Analysis (Блок 3)</w:t>
      </w:r>
    </w:p>
    <w:p w14:paraId="448BA584">
      <w:pPr>
        <w:spacing w:before="0" w:after="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Аналіз результатів та графіка до блоку №3: симуляція N = 100 000 запитів до системи (де 90% запитів штатні, а 10% повільні через очищення пам'яті GC) показала вибіркове середнє 28.21037 мс (при теоретичному 28.00000 мс) та великий розкид Сигма = 40.34389 мс. Розрахунок перцентилів (меж часу, у які вкладається заданий відсоток найшвидших запитів) показав: медіана p50 = 20.35954 мс (половина користувачів чекає менше 20.36 мс), а p90 = 27.73287 мс (90% запитів проходять швидше ніж за 27.73 мс, навіть швидше за середнє арифметичне). Проте на останніх відсотках («хвості» затримок) час різко стрибає вгору: перцентиль p95 становить уже 71.72634 мс, а перцентиль p99 досягає 237.02023 мс (тобто 1% найповільніших запитів гальмує майже у 12 разів довше за звичайні). Це наочно пояснює, чому в ІТ продуктивність серверів оцінюють саме за перцентилями p95 і p99, а не за оманливим середнім значенням.</w:t>
      </w:r>
    </w:p>
    <w:p w14:paraId="616F1B10">
      <w:pPr>
        <w:spacing w:before="40" w:after="120" w:line="276" w:lineRule="auto"/>
        <w:ind w:firstLine="0"/>
        <w:jc w:val="center"/>
      </w:pPr>
      <w:r>
        <w:drawing>
          <wp:inline distT="0" distB="0" distL="114300" distR="114300">
            <wp:extent cx="5462270" cy="3599180"/>
            <wp:effectExtent l="4445" t="4445" r="19685" b="15875"/>
            <wp:docPr id="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96A695C">
      <w:pPr>
        <w:spacing w:before="40" w:after="120" w:line="276" w:lineRule="auto"/>
        <w:ind w:firstLine="0"/>
        <w:jc w:val="center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  <w:t>Рисунок 6. Графік емпіричної функції розподілу F(x) затримок системи</w:t>
      </w:r>
    </w:p>
    <w:p w14:paraId="7C8F35C9">
      <w:pPr>
        <w:spacing w:before="40" w:after="120" w:line="276" w:lineRule="auto"/>
        <w:ind w:firstLine="0"/>
        <w:jc w:val="center"/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</w:pPr>
      <w:r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  <w:drawing>
          <wp:inline distT="0" distB="0" distL="114300" distR="114300">
            <wp:extent cx="4305300" cy="819150"/>
            <wp:effectExtent l="0" t="0" r="0" b="0"/>
            <wp:docPr id="4" name="Изображение 4" descr="VsDebugConsole_gYXcg6cBX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VsDebugConsole_gYXcg6cBX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1B26">
      <w:pPr>
        <w:spacing w:before="40" w:after="120" w:line="276" w:lineRule="auto"/>
        <w:ind w:firstLine="0"/>
        <w:jc w:val="center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i/>
          <w:color w:val="000000"/>
          <w:sz w:val="22"/>
          <w:szCs w:val="22"/>
          <w:lang w:val="en-US"/>
        </w:rPr>
        <w:t>Рисунок 7. Результати моделювання часу автономної роботи від UPS (Блок 4, Варіант 2)</w:t>
      </w:r>
    </w:p>
    <w:p w14:paraId="76606DD8">
      <w:pPr>
        <w:spacing w:before="0" w:after="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Аналіз результатів до блоку №4 (Варіант 2): за підсумками моделювання 100 000 аварійних вимкнень електроенергії вибірковий середній час роботи сервера від батареї UPS склав M[X] = 3.99609 год при теоретичному значенні 4.00000 год. Статистична частота випадків, коли заряду UPS вистачило на понад 6 годин, склала W(X &gt; 6 год) = 0.22435, тоді як точна теоретична ймовірність становить P(X &gt; 6 год) = 0.22313. Абсолютна похибка дорівнює всього 0.00122, що підтверджує: приблизно у 22.4% аварій батарея протримає систему довше 6 годин.</w:t>
      </w:r>
    </w:p>
    <w:p w14:paraId="414B675F">
      <w:pPr>
        <w:keepNext/>
        <w:spacing w:before="120" w:after="8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8"/>
          <w:szCs w:val="22"/>
          <w:lang w:val="en-US"/>
        </w:rPr>
        <w:t>5. Аналіз і висновки</w:t>
      </w:r>
    </w:p>
    <w:p w14:paraId="265C970B">
      <w:pPr>
        <w:spacing w:before="0" w:after="0" w:line="276" w:lineRule="auto"/>
        <w:ind w:firstLine="709"/>
        <w:jc w:val="both"/>
        <w:rPr>
          <w:rFonts w:eastAsia="SimSun" w:cs="Times New Roman"/>
          <w:color w:val="000000"/>
          <w:szCs w:val="22"/>
          <w:lang w:val="en-US"/>
        </w:rPr>
      </w:pPr>
      <w:r>
        <w:rPr>
          <w:rFonts w:ascii="Times New Roman" w:hAnsi="Times New Roman" w:eastAsia="SimSun" w:cs="Times New Roman"/>
          <w:b w:val="0"/>
          <w:color w:val="000000"/>
          <w:sz w:val="28"/>
          <w:szCs w:val="22"/>
          <w:lang w:val="en-US"/>
        </w:rPr>
        <w:t>Під час виконання практичної роботи було засвоєно практичні навички моделювання неперервних випадкових величин (які можуть приймати будь-яке дробове значення на проміжку), побудови та графічного аналізу функції розподілу F(x) (ймовірності не перевищити заданий поріг) і щільності ймовірності f(x) (густоти розподілу значень). На практиці перевірено Закон великих чисел і Центральну граничну теорему: при збільшенні кількості незалежних доданків з k = 1 до k = 30 показник плосковерхості графіка Kurtosis зменшився за модулем з -1.20615 до -0.04493, а розподіл суми зійшовся до нормального закону N(0, 1). За допомогою методу Монте-Карло на вибірках у 100 000 випробувань розраховано характеристики надійності сервера MTBF за Варіантом №2 (середній час 19.98045 год при теорії 20.00000 год, частота роботи понад 30 годин 0.22435 із похибкою 0.00122) та час автономної роботи від UPS за Варіантом №2 (середній час 3.99609 год при теорії 4.00000 год, похибка ймовірності роботи понад 6 годин склала 0.00122). Виконано перцентильний аналіз затримок ПЗ (Latency Tail Analysis), який показав різкий розрив між типовою медіанною затримкою p50 = 20.35954 мс та хвостовим перцентилем p99 = 237.02023 мс. Усі отримані статистичні оцінки збіглися з теоретичними розрахунками з високою точністю, що є фактами того, що нашим обрахункам можна довіряти.</w:t>
      </w:r>
      <w:bookmarkStart w:id="0" w:name="_GoBack"/>
      <w:bookmarkEnd w:id="0"/>
    </w:p>
    <w:p w14:paraId="6596D6ED">
      <w:pPr>
        <w:keepNext/>
        <w:spacing w:before="200" w:after="120" w:line="276" w:lineRule="auto"/>
        <w:ind w:firstLine="709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sectPr>
      <w:pgSz w:w="11906" w:h="16838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+Заголовок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Заголовок (восточно-азиатское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1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2F406">
    <w:pPr>
      <w:pStyle w:val="13"/>
      <w:jc w:val="right"/>
      <w:rPr>
        <w:rFonts w:hint="default"/>
        <w:lang w:val="en-US"/>
      </w:rPr>
    </w:pPr>
  </w:p>
  <w:p w14:paraId="6A8B0F15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D57"/>
    <w:rsid w:val="00014C29"/>
    <w:rsid w:val="000851AB"/>
    <w:rsid w:val="000A3426"/>
    <w:rsid w:val="000C6DC4"/>
    <w:rsid w:val="000F53F0"/>
    <w:rsid w:val="00147826"/>
    <w:rsid w:val="001C65E2"/>
    <w:rsid w:val="001D6248"/>
    <w:rsid w:val="00263D56"/>
    <w:rsid w:val="00270A9B"/>
    <w:rsid w:val="00305743"/>
    <w:rsid w:val="003213F3"/>
    <w:rsid w:val="00335AD1"/>
    <w:rsid w:val="0035597F"/>
    <w:rsid w:val="00416240"/>
    <w:rsid w:val="004A317B"/>
    <w:rsid w:val="00516B9B"/>
    <w:rsid w:val="00540A84"/>
    <w:rsid w:val="00570E20"/>
    <w:rsid w:val="005818AB"/>
    <w:rsid w:val="0058275A"/>
    <w:rsid w:val="0059536D"/>
    <w:rsid w:val="00636F65"/>
    <w:rsid w:val="00656BD3"/>
    <w:rsid w:val="00691257"/>
    <w:rsid w:val="006F57A4"/>
    <w:rsid w:val="006F609A"/>
    <w:rsid w:val="00730640"/>
    <w:rsid w:val="007836F2"/>
    <w:rsid w:val="00785A30"/>
    <w:rsid w:val="00794934"/>
    <w:rsid w:val="007B77B4"/>
    <w:rsid w:val="007C417D"/>
    <w:rsid w:val="00856D57"/>
    <w:rsid w:val="0088109C"/>
    <w:rsid w:val="008C36D7"/>
    <w:rsid w:val="008E3632"/>
    <w:rsid w:val="00921AA5"/>
    <w:rsid w:val="00945466"/>
    <w:rsid w:val="00950AF1"/>
    <w:rsid w:val="00A46498"/>
    <w:rsid w:val="00A510DF"/>
    <w:rsid w:val="00A51704"/>
    <w:rsid w:val="00AF52EB"/>
    <w:rsid w:val="00B04064"/>
    <w:rsid w:val="00B27B70"/>
    <w:rsid w:val="00BC70E5"/>
    <w:rsid w:val="00BF29DA"/>
    <w:rsid w:val="00C27B65"/>
    <w:rsid w:val="00D03C47"/>
    <w:rsid w:val="00D54B48"/>
    <w:rsid w:val="00D85635"/>
    <w:rsid w:val="00E03471"/>
    <w:rsid w:val="00E21D7E"/>
    <w:rsid w:val="00E4794E"/>
    <w:rsid w:val="00EB539E"/>
    <w:rsid w:val="00F35241"/>
    <w:rsid w:val="00FB4479"/>
    <w:rsid w:val="015A3746"/>
    <w:rsid w:val="026929FF"/>
    <w:rsid w:val="02B86002"/>
    <w:rsid w:val="02DB0337"/>
    <w:rsid w:val="05C51508"/>
    <w:rsid w:val="062A342B"/>
    <w:rsid w:val="078C55F0"/>
    <w:rsid w:val="0B0E2EBC"/>
    <w:rsid w:val="0CBD6919"/>
    <w:rsid w:val="0E7145BF"/>
    <w:rsid w:val="1156028D"/>
    <w:rsid w:val="132F6187"/>
    <w:rsid w:val="14E24232"/>
    <w:rsid w:val="15337B56"/>
    <w:rsid w:val="15682CB8"/>
    <w:rsid w:val="167158BB"/>
    <w:rsid w:val="197F26E3"/>
    <w:rsid w:val="19BE5A4B"/>
    <w:rsid w:val="1A3F149C"/>
    <w:rsid w:val="1AC02C25"/>
    <w:rsid w:val="1B22281B"/>
    <w:rsid w:val="1D1B2ECF"/>
    <w:rsid w:val="1DA90758"/>
    <w:rsid w:val="1E4A4DAB"/>
    <w:rsid w:val="1E8A0B27"/>
    <w:rsid w:val="1EB451EE"/>
    <w:rsid w:val="1F8567B4"/>
    <w:rsid w:val="20244CAA"/>
    <w:rsid w:val="212F0028"/>
    <w:rsid w:val="22980C5F"/>
    <w:rsid w:val="23E61655"/>
    <w:rsid w:val="2637753E"/>
    <w:rsid w:val="26A11572"/>
    <w:rsid w:val="2990183F"/>
    <w:rsid w:val="2A2C2295"/>
    <w:rsid w:val="2A66059D"/>
    <w:rsid w:val="2B4D2E1A"/>
    <w:rsid w:val="2B5946AE"/>
    <w:rsid w:val="2CC9360B"/>
    <w:rsid w:val="30CE6A2C"/>
    <w:rsid w:val="31CB6BC1"/>
    <w:rsid w:val="329A5F94"/>
    <w:rsid w:val="34A009E4"/>
    <w:rsid w:val="35D54660"/>
    <w:rsid w:val="36893A4A"/>
    <w:rsid w:val="37506537"/>
    <w:rsid w:val="38735D2A"/>
    <w:rsid w:val="39A70CDC"/>
    <w:rsid w:val="39D5466D"/>
    <w:rsid w:val="3D793D51"/>
    <w:rsid w:val="3FB1448E"/>
    <w:rsid w:val="403D62AF"/>
    <w:rsid w:val="41B119D5"/>
    <w:rsid w:val="42282918"/>
    <w:rsid w:val="42613A6B"/>
    <w:rsid w:val="42932922"/>
    <w:rsid w:val="43BF6EE0"/>
    <w:rsid w:val="444F3178"/>
    <w:rsid w:val="448B2102"/>
    <w:rsid w:val="44DE410B"/>
    <w:rsid w:val="45261842"/>
    <w:rsid w:val="46DA06CE"/>
    <w:rsid w:val="47925B2E"/>
    <w:rsid w:val="47950E01"/>
    <w:rsid w:val="47C860F1"/>
    <w:rsid w:val="487B2E45"/>
    <w:rsid w:val="48B956E0"/>
    <w:rsid w:val="4AEB582E"/>
    <w:rsid w:val="4B570551"/>
    <w:rsid w:val="4E3A06CB"/>
    <w:rsid w:val="507334C0"/>
    <w:rsid w:val="51021A04"/>
    <w:rsid w:val="53A33245"/>
    <w:rsid w:val="54A540EC"/>
    <w:rsid w:val="567C4A0A"/>
    <w:rsid w:val="57AF145C"/>
    <w:rsid w:val="57ED06D1"/>
    <w:rsid w:val="59B96DF4"/>
    <w:rsid w:val="5A9552DA"/>
    <w:rsid w:val="5AC825CF"/>
    <w:rsid w:val="5CD765E0"/>
    <w:rsid w:val="5CED0783"/>
    <w:rsid w:val="5D1154C0"/>
    <w:rsid w:val="5DCF771C"/>
    <w:rsid w:val="5EB033F0"/>
    <w:rsid w:val="5EFE39E7"/>
    <w:rsid w:val="5F8374C3"/>
    <w:rsid w:val="5FB9411A"/>
    <w:rsid w:val="60005CA6"/>
    <w:rsid w:val="61EA78B2"/>
    <w:rsid w:val="668274B1"/>
    <w:rsid w:val="671D1438"/>
    <w:rsid w:val="67BD2544"/>
    <w:rsid w:val="689F66A6"/>
    <w:rsid w:val="68EE7392"/>
    <w:rsid w:val="69200001"/>
    <w:rsid w:val="6ACA31C3"/>
    <w:rsid w:val="6B5D6AB1"/>
    <w:rsid w:val="6C6241DE"/>
    <w:rsid w:val="6CD27D15"/>
    <w:rsid w:val="6DA92924"/>
    <w:rsid w:val="6E66012B"/>
    <w:rsid w:val="6F1859D0"/>
    <w:rsid w:val="732D59C3"/>
    <w:rsid w:val="752062B5"/>
    <w:rsid w:val="78D51BC9"/>
    <w:rsid w:val="7BD8369B"/>
    <w:rsid w:val="7CBF0413"/>
    <w:rsid w:val="7E5570D2"/>
    <w:rsid w:val="7EA36E51"/>
    <w:rsid w:val="7EE37C3B"/>
    <w:rsid w:val="7F42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before="120" w:after="280" w:line="259" w:lineRule="auto"/>
      <w:jc w:val="both"/>
    </w:pPr>
    <w:rPr>
      <w:rFonts w:ascii="Times New Roman" w:hAnsi="Times New Roman" w:eastAsiaTheme="minorEastAsia" w:cstheme="minorBidi"/>
      <w:sz w:val="28"/>
      <w:szCs w:val="28"/>
      <w:lang w:val="uk-UA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40" w:after="0"/>
      <w:jc w:val="center"/>
      <w:outlineLvl w:val="0"/>
    </w:pPr>
    <w:rPr>
      <w:rFonts w:eastAsia="+Заголовок (восточно-азиатское" w:asciiTheme="majorAscii" w:hAnsiTheme="majorAscii" w:cstheme="majorBidi"/>
      <w:b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link w:val="16"/>
    <w:unhideWhenUsed/>
    <w:qFormat/>
    <w:uiPriority w:val="9"/>
    <w:pPr>
      <w:keepNext/>
      <w:keepLines/>
      <w:spacing w:before="480" w:after="240" w:line="360" w:lineRule="auto"/>
      <w:ind w:left="0" w:leftChars="0" w:firstLine="720" w:firstLineChars="0"/>
      <w:outlineLvl w:val="1"/>
    </w:pPr>
    <w:rPr>
      <w:rFonts w:ascii="Times New Roman" w:hAnsi="Times New Roman" w:eastAsiaTheme="majorEastAsia" w:cstheme="majorBidi"/>
      <w:b/>
      <w:color w:val="auto"/>
      <w:szCs w:val="26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header"/>
    <w:basedOn w:val="1"/>
    <w:link w:val="19"/>
    <w:unhideWhenUsed/>
    <w:qFormat/>
    <w:uiPriority w:val="0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11">
    <w:name w:val="toc 1"/>
    <w:basedOn w:val="1"/>
    <w:next w:val="1"/>
    <w:autoRedefine/>
    <w:unhideWhenUsed/>
    <w:qFormat/>
    <w:uiPriority w:val="39"/>
    <w:pPr>
      <w:spacing w:after="100"/>
    </w:pPr>
    <w:rPr>
      <w:rFonts w:ascii="Times New Roman" w:hAnsi="Times New Roman"/>
      <w:sz w:val="28"/>
    </w:rPr>
  </w:style>
  <w:style w:type="paragraph" w:styleId="12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3">
    <w:name w:val="footer"/>
    <w:basedOn w:val="1"/>
    <w:link w:val="20"/>
    <w:unhideWhenUsed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customStyle="1" w:styleId="15">
    <w:name w:val="Фото"/>
    <w:qFormat/>
    <w:uiPriority w:val="0"/>
    <w:pPr>
      <w:ind w:firstLine="709"/>
      <w:jc w:val="center"/>
    </w:pPr>
    <w:rPr>
      <w:rFonts w:ascii="Times New Roman" w:hAnsi="Times New Roman" w:eastAsia="SimSun" w:cs="Times New Roman"/>
      <w:lang w:val="en-US"/>
    </w:rPr>
  </w:style>
  <w:style w:type="character" w:customStyle="1" w:styleId="16">
    <w:name w:val="Заголовок 2 Знак"/>
    <w:basedOn w:val="6"/>
    <w:link w:val="3"/>
    <w:semiHidden/>
    <w:qFormat/>
    <w:uiPriority w:val="9"/>
    <w:rPr>
      <w:rFonts w:ascii="Times New Roman" w:hAnsi="Times New Roman" w:eastAsiaTheme="majorEastAsia" w:cstheme="majorBidi"/>
      <w:b/>
      <w:color w:val="auto"/>
      <w:sz w:val="28"/>
      <w:szCs w:val="26"/>
    </w:rPr>
  </w:style>
  <w:style w:type="paragraph" w:customStyle="1" w:styleId="17">
    <w:name w:val="ЗвітНП_заг1"/>
    <w:basedOn w:val="11"/>
    <w:link w:val="18"/>
    <w:qFormat/>
    <w:uiPriority w:val="0"/>
    <w:pPr>
      <w:spacing w:before="240" w:after="240"/>
      <w:jc w:val="center"/>
    </w:pPr>
    <w:rPr>
      <w:rFonts w:ascii="Times New Roman" w:hAnsi="Times New Roman" w:cs="Times New Roman"/>
      <w:b/>
      <w:bCs/>
    </w:rPr>
  </w:style>
  <w:style w:type="character" w:customStyle="1" w:styleId="18">
    <w:name w:val="ЗвітНП_заг1 Знак"/>
    <w:basedOn w:val="6"/>
    <w:link w:val="17"/>
    <w:qFormat/>
    <w:uiPriority w:val="0"/>
    <w:rPr>
      <w:rFonts w:ascii="Times New Roman" w:hAnsi="Times New Roman" w:cs="Times New Roman" w:eastAsiaTheme="minorEastAsia"/>
      <w:b/>
      <w:bCs/>
      <w:sz w:val="28"/>
    </w:rPr>
  </w:style>
  <w:style w:type="character" w:customStyle="1" w:styleId="19">
    <w:name w:val="Верхний колонтитул Знак"/>
    <w:basedOn w:val="6"/>
    <w:link w:val="10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customStyle="1" w:styleId="20">
    <w:name w:val="Нижний колонтитул Знак"/>
    <w:basedOn w:val="6"/>
    <w:link w:val="13"/>
    <w:qFormat/>
    <w:uiPriority w:val="99"/>
  </w:style>
  <w:style w:type="paragraph" w:customStyle="1" w:styleId="21">
    <w:name w:val="Чертежный"/>
    <w:qFormat/>
    <w:uiPriority w:val="0"/>
    <w:pPr>
      <w:spacing w:after="0" w:line="240" w:lineRule="auto"/>
      <w:jc w:val="both"/>
    </w:pPr>
    <w:rPr>
      <w:rFonts w:ascii="ISOCPEUR" w:hAnsi="ISOCPEUR" w:eastAsia="Calibri" w:cs="Times New Roman"/>
      <w:i/>
      <w:sz w:val="28"/>
      <w:szCs w:val="20"/>
      <w:lang w:val="uk-UA" w:eastAsia="ru-RU" w:bidi="ar-SA"/>
    </w:rPr>
  </w:style>
  <w:style w:type="character" w:customStyle="1" w:styleId="22">
    <w:name w:val="Заголовок 1 Знак"/>
    <w:basedOn w:val="6"/>
    <w:link w:val="2"/>
    <w:qFormat/>
    <w:uiPriority w:val="9"/>
    <w:rPr>
      <w:rFonts w:eastAsia="+Заголовок (восточно-азиатское" w:asciiTheme="majorAscii" w:hAnsiTheme="majorAscii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23">
    <w:name w:val="Заголовок 3 Знак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4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chart" Target="charts/chart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chart" Target="charts/chart3.xml"/><Relationship Id="rId11" Type="http://schemas.openxmlformats.org/officeDocument/2006/relationships/image" Target="media/image3.png"/><Relationship Id="rId10" Type="http://schemas.openxmlformats.org/officeDocument/2006/relationships/chart" Target="charts/chart2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themeOverride" Target="../theme/themeOverride3.xml"/><Relationship Id="rId1" Type="http://schemas.openxmlformats.org/officeDocument/2006/relationships/oleObject" Target="file:///E:\&#1056;&#1072;&#1073;&#1086;&#1095;&#1080;&#1081;%20&#1089;&#1090;&#1086;&#1083;\&#1043;&#1088;&#1072;&#1092;&#1110;&#1082;&#1080;\&#1055;&#1056;5_&#1043;&#1088;&#1072;&#1092;&#1110;&#1082;&#1080;.xlsx" TargetMode="Externa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themeOverride" Target="../theme/themeOverride2.xml"/><Relationship Id="rId1" Type="http://schemas.openxmlformats.org/officeDocument/2006/relationships/oleObject" Target="file:///E:\&#1056;&#1072;&#1073;&#1086;&#1095;&#1080;&#1081;%20&#1089;&#1090;&#1086;&#1083;\&#1043;&#1088;&#1072;&#1092;&#1110;&#1082;&#1080;\&#1055;&#1056;5_&#1043;&#1088;&#1072;&#1092;&#1110;&#1082;&#1080;.xlsx" TargetMode="External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themeOverride" Target="../theme/themeOverride1.xml"/><Relationship Id="rId1" Type="http://schemas.openxmlformats.org/officeDocument/2006/relationships/oleObject" Target="file:///E:\&#1056;&#1072;&#1073;&#1086;&#1095;&#1080;&#1081;%20&#1089;&#1090;&#1086;&#1083;\&#1043;&#1088;&#1072;&#1092;&#1110;&#1082;&#1080;\&#1055;&#1056;5_&#1043;&#1088;&#1072;&#1092;&#1110;&#1082;&#108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>
              <a:defRPr lang="ru-RU" sz="1800" b="1" i="0" u="none" strike="noStrike" kern="1200" spc="-1" baseline="0">
                <a:solidFill>
                  <a:srgbClr val="000000"/>
                </a:solidFill>
                <a:latin typeface="Calibri" panose="020F0502020204030204"/>
                <a:ea typeface="+mn-ea"/>
                <a:cs typeface="+mn-cs"/>
              </a:defRPr>
            </a:pPr>
            <a:r>
              <a:rPr sz="1800" b="1" strike="noStrike" spc="-1">
                <a:solidFill>
                  <a:srgbClr val="000000"/>
                </a:solidFill>
                <a:latin typeface="Calibri" panose="020F0502020204030204"/>
              </a:rPr>
              <a:t>Блок 1: Збіжність щільності суми Z_k до нормального закону N(0,1)</a:t>
            </a:r>
            <a:endParaRPr sz="1800" b="1" strike="noStrike" spc="-1">
              <a:solidFill>
                <a:srgbClr val="000000"/>
              </a:solidFill>
              <a:latin typeface="Calibri" panose="020F0502020204030204"/>
            </a:endParaRPr>
          </a:p>
        </c:rich>
      </c:tx>
      <c:layout/>
      <c:overlay val="0"/>
      <c:spPr>
        <a:noFill/>
        <a:ln w="0"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'[ПР5_Графіки.xlsx]Блок 1 ЦГТ'!$B$1</c:f>
              <c:strCache>
                <c:ptCount val="1"/>
                <c:pt idx="0">
                  <c:v>Щільність (k=1)</c:v>
                </c:pt>
              </c:strCache>
            </c:strRef>
          </c:tx>
          <c:spPr>
            <a:ln w="47520" cap="rnd" cmpd="sng" algn="ctr">
              <a:solidFill>
                <a:srgbClr val="4A7EBB"/>
              </a:solidFill>
              <a:prstDash val="solid"/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none" lIns="38100" tIns="19050" rIns="38100" bIns="19050" anchor="ctr" anchorCtr="1"/>
              <a:lstStyle/>
              <a:p>
                <a:pPr>
                  <a:defRPr lang="ru-RU" sz="1000" b="0" i="0" u="none" strike="noStrike" kern="1200" spc="-1" baseline="0">
                    <a:solidFill>
                      <a:sysClr val="windowText" lastClr="000000"/>
                    </a:solidFill>
                    <a:latin typeface="Arial" panose="020B0604020202020204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/>
              </c:ext>
            </c:extLst>
          </c:dLbls>
          <c:cat>
            <c:numRef>
              <c:f>'[ПР5_Графіки.xlsx]Блок 1 ЦГТ'!$A$2:$A$14</c:f>
              <c:numCache>
                <c:formatCode>General</c:formatCode>
                <c:ptCount val="13"/>
                <c:pt idx="0">
                  <c:v>-3</c:v>
                </c:pt>
                <c:pt idx="1">
                  <c:v>-2.5</c:v>
                </c:pt>
                <c:pt idx="2">
                  <c:v>-2</c:v>
                </c:pt>
                <c:pt idx="3">
                  <c:v>-1.5</c:v>
                </c:pt>
                <c:pt idx="4">
                  <c:v>-1</c:v>
                </c:pt>
                <c:pt idx="5">
                  <c:v>-0.5</c:v>
                </c:pt>
                <c:pt idx="6">
                  <c:v>0</c:v>
                </c:pt>
                <c:pt idx="7">
                  <c:v>0.5</c:v>
                </c:pt>
                <c:pt idx="8">
                  <c:v>1</c:v>
                </c:pt>
                <c:pt idx="9">
                  <c:v>1.5</c:v>
                </c:pt>
                <c:pt idx="10">
                  <c:v>2</c:v>
                </c:pt>
                <c:pt idx="11">
                  <c:v>2.5</c:v>
                </c:pt>
                <c:pt idx="12">
                  <c:v>3</c:v>
                </c:pt>
              </c:numCache>
            </c:numRef>
          </c:cat>
          <c:val>
            <c:numRef>
              <c:f>'[ПР5_Графіки.xlsx]Блок 1 ЦГТ'!$B$2:$B$14</c:f>
              <c:numCache>
                <c:formatCode>0.0000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0.2806</c:v>
                </c:pt>
                <c:pt idx="4">
                  <c:v>0.2874</c:v>
                </c:pt>
                <c:pt idx="5">
                  <c:v>0.2899</c:v>
                </c:pt>
                <c:pt idx="6">
                  <c:v>0.2874</c:v>
                </c:pt>
                <c:pt idx="7">
                  <c:v>0.2849</c:v>
                </c:pt>
                <c:pt idx="8">
                  <c:v>0.2916</c:v>
                </c:pt>
                <c:pt idx="9">
                  <c:v>0.2782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</c:numCache>
            </c:numRef>
          </c:val>
          <c:smooth val="1"/>
        </c:ser>
        <c:ser>
          <c:idx val="1"/>
          <c:order val="1"/>
          <c:tx>
            <c:strRef>
              <c:f>'[ПР5_Графіки.xlsx]Блок 1 ЦГТ'!$C$1</c:f>
              <c:strCache>
                <c:ptCount val="1"/>
                <c:pt idx="0">
                  <c:v>Щільність (k=2)</c:v>
                </c:pt>
              </c:strCache>
            </c:strRef>
          </c:tx>
          <c:spPr>
            <a:ln w="47520" cap="rnd" cmpd="sng" algn="ctr">
              <a:solidFill>
                <a:srgbClr val="BE4B48"/>
              </a:solidFill>
              <a:prstDash val="solid"/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none" lIns="38100" tIns="19050" rIns="38100" bIns="19050" anchor="ctr" anchorCtr="1"/>
              <a:lstStyle/>
              <a:p>
                <a:pPr>
                  <a:defRPr lang="ru-RU" sz="1000" b="0" i="0" u="none" strike="noStrike" kern="1200" spc="-1" baseline="0">
                    <a:solidFill>
                      <a:sysClr val="windowText" lastClr="000000"/>
                    </a:solidFill>
                    <a:latin typeface="Arial" panose="020B0604020202020204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/>
              </c:ext>
            </c:extLst>
          </c:dLbls>
          <c:cat>
            <c:numRef>
              <c:f>'[ПР5_Графіки.xlsx]Блок 1 ЦГТ'!$A$2:$A$14</c:f>
              <c:numCache>
                <c:formatCode>General</c:formatCode>
                <c:ptCount val="13"/>
                <c:pt idx="0">
                  <c:v>-3</c:v>
                </c:pt>
                <c:pt idx="1">
                  <c:v>-2.5</c:v>
                </c:pt>
                <c:pt idx="2">
                  <c:v>-2</c:v>
                </c:pt>
                <c:pt idx="3">
                  <c:v>-1.5</c:v>
                </c:pt>
                <c:pt idx="4">
                  <c:v>-1</c:v>
                </c:pt>
                <c:pt idx="5">
                  <c:v>-0.5</c:v>
                </c:pt>
                <c:pt idx="6">
                  <c:v>0</c:v>
                </c:pt>
                <c:pt idx="7">
                  <c:v>0.5</c:v>
                </c:pt>
                <c:pt idx="8">
                  <c:v>1</c:v>
                </c:pt>
                <c:pt idx="9">
                  <c:v>1.5</c:v>
                </c:pt>
                <c:pt idx="10">
                  <c:v>2</c:v>
                </c:pt>
                <c:pt idx="11">
                  <c:v>2.5</c:v>
                </c:pt>
                <c:pt idx="12">
                  <c:v>3</c:v>
                </c:pt>
              </c:numCache>
            </c:numRef>
          </c:cat>
          <c:val>
            <c:numRef>
              <c:f>'[ПР5_Графіки.xlsx]Блок 1 ЦГТ'!$C$2:$C$14</c:f>
              <c:numCache>
                <c:formatCode>0.0000</c:formatCode>
                <c:ptCount val="13"/>
                <c:pt idx="0">
                  <c:v>0</c:v>
                </c:pt>
                <c:pt idx="1">
                  <c:v>0.0069</c:v>
                </c:pt>
                <c:pt idx="2">
                  <c:v>0.0738</c:v>
                </c:pt>
                <c:pt idx="3">
                  <c:v>0.1576</c:v>
                </c:pt>
                <c:pt idx="4">
                  <c:v>0.2437</c:v>
                </c:pt>
                <c:pt idx="5">
                  <c:v>0.3242</c:v>
                </c:pt>
                <c:pt idx="6">
                  <c:v>0.3858</c:v>
                </c:pt>
                <c:pt idx="7">
                  <c:v>0.3261</c:v>
                </c:pt>
                <c:pt idx="8">
                  <c:v>0.2438</c:v>
                </c:pt>
                <c:pt idx="9">
                  <c:v>0.1574</c:v>
                </c:pt>
                <c:pt idx="10">
                  <c:v>0.0739</c:v>
                </c:pt>
                <c:pt idx="11">
                  <c:v>0.0068</c:v>
                </c:pt>
                <c:pt idx="12">
                  <c:v>0</c:v>
                </c:pt>
              </c:numCache>
            </c:numRef>
          </c:val>
          <c:smooth val="1"/>
        </c:ser>
        <c:ser>
          <c:idx val="2"/>
          <c:order val="2"/>
          <c:tx>
            <c:strRef>
              <c:f>'[ПР5_Графіки.xlsx]Блок 1 ЦГТ'!$D$1</c:f>
              <c:strCache>
                <c:ptCount val="1"/>
                <c:pt idx="0">
                  <c:v>Щільність (k=5)</c:v>
                </c:pt>
              </c:strCache>
            </c:strRef>
          </c:tx>
          <c:spPr>
            <a:ln w="47520" cap="rnd" cmpd="sng" algn="ctr">
              <a:solidFill>
                <a:srgbClr val="98B855"/>
              </a:solidFill>
              <a:prstDash val="solid"/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none" lIns="38100" tIns="19050" rIns="38100" bIns="19050" anchor="ctr" anchorCtr="1"/>
              <a:lstStyle/>
              <a:p>
                <a:pPr>
                  <a:defRPr lang="ru-RU" sz="1000" b="0" i="0" u="none" strike="noStrike" kern="1200" spc="-1" baseline="0">
                    <a:solidFill>
                      <a:sysClr val="windowText" lastClr="000000"/>
                    </a:solidFill>
                    <a:latin typeface="Arial" panose="020B0604020202020204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/>
              </c:ext>
            </c:extLst>
          </c:dLbls>
          <c:cat>
            <c:numRef>
              <c:f>'[ПР5_Графіки.xlsx]Блок 1 ЦГТ'!$A$2:$A$14</c:f>
              <c:numCache>
                <c:formatCode>General</c:formatCode>
                <c:ptCount val="13"/>
                <c:pt idx="0">
                  <c:v>-3</c:v>
                </c:pt>
                <c:pt idx="1">
                  <c:v>-2.5</c:v>
                </c:pt>
                <c:pt idx="2">
                  <c:v>-2</c:v>
                </c:pt>
                <c:pt idx="3">
                  <c:v>-1.5</c:v>
                </c:pt>
                <c:pt idx="4">
                  <c:v>-1</c:v>
                </c:pt>
                <c:pt idx="5">
                  <c:v>-0.5</c:v>
                </c:pt>
                <c:pt idx="6">
                  <c:v>0</c:v>
                </c:pt>
                <c:pt idx="7">
                  <c:v>0.5</c:v>
                </c:pt>
                <c:pt idx="8">
                  <c:v>1</c:v>
                </c:pt>
                <c:pt idx="9">
                  <c:v>1.5</c:v>
                </c:pt>
                <c:pt idx="10">
                  <c:v>2</c:v>
                </c:pt>
                <c:pt idx="11">
                  <c:v>2.5</c:v>
                </c:pt>
                <c:pt idx="12">
                  <c:v>3</c:v>
                </c:pt>
              </c:numCache>
            </c:numRef>
          </c:cat>
          <c:val>
            <c:numRef>
              <c:f>'[ПР5_Графіки.xlsx]Блок 1 ЦГТ'!$D$2:$D$14</c:f>
              <c:numCache>
                <c:formatCode>0.0000</c:formatCode>
                <c:ptCount val="13"/>
                <c:pt idx="0">
                  <c:v>0.0035</c:v>
                </c:pt>
                <c:pt idx="1">
                  <c:v>0.0188</c:v>
                </c:pt>
                <c:pt idx="2">
                  <c:v>0.0582</c:v>
                </c:pt>
                <c:pt idx="3">
                  <c:v>0.1398</c:v>
                </c:pt>
                <c:pt idx="4">
                  <c:v>0.2489</c:v>
                </c:pt>
                <c:pt idx="5">
                  <c:v>0.3409</c:v>
                </c:pt>
                <c:pt idx="6">
                  <c:v>0.385</c:v>
                </c:pt>
                <c:pt idx="7">
                  <c:v>0.3389</c:v>
                </c:pt>
                <c:pt idx="8">
                  <c:v>0.2461</c:v>
                </c:pt>
                <c:pt idx="9">
                  <c:v>0.1407</c:v>
                </c:pt>
                <c:pt idx="10">
                  <c:v>0.0573</c:v>
                </c:pt>
                <c:pt idx="11">
                  <c:v>0.0177</c:v>
                </c:pt>
                <c:pt idx="12">
                  <c:v>0.0036</c:v>
                </c:pt>
              </c:numCache>
            </c:numRef>
          </c:val>
          <c:smooth val="1"/>
        </c:ser>
        <c:ser>
          <c:idx val="3"/>
          <c:order val="3"/>
          <c:tx>
            <c:strRef>
              <c:f>'[ПР5_Графіки.xlsx]Блок 1 ЦГТ'!$E$1</c:f>
              <c:strCache>
                <c:ptCount val="1"/>
                <c:pt idx="0">
                  <c:v>Щільність (k=12)</c:v>
                </c:pt>
              </c:strCache>
            </c:strRef>
          </c:tx>
          <c:spPr>
            <a:ln w="47520" cap="rnd" cmpd="sng" algn="ctr">
              <a:solidFill>
                <a:srgbClr val="7D5FA0"/>
              </a:solidFill>
              <a:prstDash val="solid"/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none" lIns="38100" tIns="19050" rIns="38100" bIns="19050" anchor="ctr" anchorCtr="1"/>
              <a:lstStyle/>
              <a:p>
                <a:pPr>
                  <a:defRPr lang="ru-RU" sz="1000" b="0" i="0" u="none" strike="noStrike" kern="1200" spc="-1" baseline="0">
                    <a:solidFill>
                      <a:sysClr val="windowText" lastClr="000000"/>
                    </a:solidFill>
                    <a:latin typeface="Arial" panose="020B0604020202020204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/>
              </c:ext>
            </c:extLst>
          </c:dLbls>
          <c:cat>
            <c:numRef>
              <c:f>'[ПР5_Графіки.xlsx]Блок 1 ЦГТ'!$A$2:$A$14</c:f>
              <c:numCache>
                <c:formatCode>General</c:formatCode>
                <c:ptCount val="13"/>
                <c:pt idx="0">
                  <c:v>-3</c:v>
                </c:pt>
                <c:pt idx="1">
                  <c:v>-2.5</c:v>
                </c:pt>
                <c:pt idx="2">
                  <c:v>-2</c:v>
                </c:pt>
                <c:pt idx="3">
                  <c:v>-1.5</c:v>
                </c:pt>
                <c:pt idx="4">
                  <c:v>-1</c:v>
                </c:pt>
                <c:pt idx="5">
                  <c:v>-0.5</c:v>
                </c:pt>
                <c:pt idx="6">
                  <c:v>0</c:v>
                </c:pt>
                <c:pt idx="7">
                  <c:v>0.5</c:v>
                </c:pt>
                <c:pt idx="8">
                  <c:v>1</c:v>
                </c:pt>
                <c:pt idx="9">
                  <c:v>1.5</c:v>
                </c:pt>
                <c:pt idx="10">
                  <c:v>2</c:v>
                </c:pt>
                <c:pt idx="11">
                  <c:v>2.5</c:v>
                </c:pt>
                <c:pt idx="12">
                  <c:v>3</c:v>
                </c:pt>
              </c:numCache>
            </c:numRef>
          </c:cat>
          <c:val>
            <c:numRef>
              <c:f>'[ПР5_Графіки.xlsx]Блок 1 ЦГТ'!$E$2:$E$14</c:f>
              <c:numCache>
                <c:formatCode>0.0000</c:formatCode>
                <c:ptCount val="13"/>
                <c:pt idx="0">
                  <c:v>0.0043</c:v>
                </c:pt>
                <c:pt idx="1">
                  <c:v>0.0198</c:v>
                </c:pt>
                <c:pt idx="2">
                  <c:v>0.0546</c:v>
                </c:pt>
                <c:pt idx="3">
                  <c:v>0.1348</c:v>
                </c:pt>
                <c:pt idx="4">
                  <c:v>0.2408</c:v>
                </c:pt>
                <c:pt idx="5">
                  <c:v>0.3485</c:v>
                </c:pt>
                <c:pt idx="6">
                  <c:v>0.3878</c:v>
                </c:pt>
                <c:pt idx="7">
                  <c:v>0.3492</c:v>
                </c:pt>
                <c:pt idx="8">
                  <c:v>0.2461</c:v>
                </c:pt>
                <c:pt idx="9">
                  <c:v>0.1343</c:v>
                </c:pt>
                <c:pt idx="10">
                  <c:v>0.0566</c:v>
                </c:pt>
                <c:pt idx="11">
                  <c:v>0.0178</c:v>
                </c:pt>
                <c:pt idx="12">
                  <c:v>0.004</c:v>
                </c:pt>
              </c:numCache>
            </c:numRef>
          </c:val>
          <c:smooth val="1"/>
        </c:ser>
        <c:ser>
          <c:idx val="4"/>
          <c:order val="4"/>
          <c:tx>
            <c:strRef>
              <c:f>'[ПР5_Графіки.xlsx]Блок 1 ЦГТ'!$F$1</c:f>
              <c:strCache>
                <c:ptCount val="1"/>
                <c:pt idx="0">
                  <c:v>Щільність (k=30)</c:v>
                </c:pt>
              </c:strCache>
            </c:strRef>
          </c:tx>
          <c:spPr>
            <a:ln w="47520" cap="rnd" cmpd="sng" algn="ctr">
              <a:solidFill>
                <a:srgbClr val="46AAC4"/>
              </a:solidFill>
              <a:prstDash val="solid"/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none" lIns="38100" tIns="19050" rIns="38100" bIns="19050" anchor="ctr" anchorCtr="1"/>
              <a:lstStyle/>
              <a:p>
                <a:pPr>
                  <a:defRPr lang="ru-RU" sz="1000" b="0" i="0" u="none" strike="noStrike" kern="1200" spc="-1" baseline="0">
                    <a:solidFill>
                      <a:sysClr val="windowText" lastClr="000000"/>
                    </a:solidFill>
                    <a:latin typeface="Arial" panose="020B0604020202020204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/>
              </c:ext>
            </c:extLst>
          </c:dLbls>
          <c:cat>
            <c:numRef>
              <c:f>'[ПР5_Графіки.xlsx]Блок 1 ЦГТ'!$A$2:$A$14</c:f>
              <c:numCache>
                <c:formatCode>General</c:formatCode>
                <c:ptCount val="13"/>
                <c:pt idx="0">
                  <c:v>-3</c:v>
                </c:pt>
                <c:pt idx="1">
                  <c:v>-2.5</c:v>
                </c:pt>
                <c:pt idx="2">
                  <c:v>-2</c:v>
                </c:pt>
                <c:pt idx="3">
                  <c:v>-1.5</c:v>
                </c:pt>
                <c:pt idx="4">
                  <c:v>-1</c:v>
                </c:pt>
                <c:pt idx="5">
                  <c:v>-0.5</c:v>
                </c:pt>
                <c:pt idx="6">
                  <c:v>0</c:v>
                </c:pt>
                <c:pt idx="7">
                  <c:v>0.5</c:v>
                </c:pt>
                <c:pt idx="8">
                  <c:v>1</c:v>
                </c:pt>
                <c:pt idx="9">
                  <c:v>1.5</c:v>
                </c:pt>
                <c:pt idx="10">
                  <c:v>2</c:v>
                </c:pt>
                <c:pt idx="11">
                  <c:v>2.5</c:v>
                </c:pt>
                <c:pt idx="12">
                  <c:v>3</c:v>
                </c:pt>
              </c:numCache>
            </c:numRef>
          </c:cat>
          <c:val>
            <c:numRef>
              <c:f>'[ПР5_Графіки.xlsx]Блок 1 ЦГТ'!$F$2:$F$14</c:f>
              <c:numCache>
                <c:formatCode>0.0000</c:formatCode>
                <c:ptCount val="13"/>
                <c:pt idx="0">
                  <c:v>0.0046</c:v>
                </c:pt>
                <c:pt idx="1">
                  <c:v>0.018</c:v>
                </c:pt>
                <c:pt idx="2">
                  <c:v>0.0576</c:v>
                </c:pt>
                <c:pt idx="3">
                  <c:v>0.1324</c:v>
                </c:pt>
                <c:pt idx="4">
                  <c:v>0.2415</c:v>
                </c:pt>
                <c:pt idx="5">
                  <c:v>0.3497</c:v>
                </c:pt>
                <c:pt idx="6">
                  <c:v>0.3886</c:v>
                </c:pt>
                <c:pt idx="7">
                  <c:v>0.3534</c:v>
                </c:pt>
                <c:pt idx="8">
                  <c:v>0.2411</c:v>
                </c:pt>
                <c:pt idx="9">
                  <c:v>0.1329</c:v>
                </c:pt>
                <c:pt idx="10">
                  <c:v>0.055</c:v>
                </c:pt>
                <c:pt idx="11">
                  <c:v>0.0185</c:v>
                </c:pt>
                <c:pt idx="12">
                  <c:v>0.0047</c:v>
                </c:pt>
              </c:numCache>
            </c:numRef>
          </c:val>
          <c:smooth val="1"/>
        </c:ser>
        <c:ser>
          <c:idx val="5"/>
          <c:order val="5"/>
          <c:tx>
            <c:strRef>
              <c:f>'[ПР5_Графіки.xlsx]Блок 1 ЦГТ'!$G$1</c:f>
              <c:strCache>
                <c:ptCount val="1"/>
                <c:pt idx="0">
                  <c:v>Теоретична N(0,1)</c:v>
                </c:pt>
              </c:strCache>
            </c:strRef>
          </c:tx>
          <c:spPr>
            <a:ln w="47520" cap="rnd" cmpd="sng" algn="ctr">
              <a:solidFill>
                <a:srgbClr val="F59240"/>
              </a:solidFill>
              <a:prstDash val="solid"/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none" lIns="38100" tIns="19050" rIns="38100" bIns="19050" anchor="ctr" anchorCtr="1"/>
              <a:lstStyle/>
              <a:p>
                <a:pPr>
                  <a:defRPr lang="ru-RU" sz="1000" b="0" i="0" u="none" strike="noStrike" kern="1200" spc="-1" baseline="0">
                    <a:solidFill>
                      <a:sysClr val="windowText" lastClr="000000"/>
                    </a:solidFill>
                    <a:latin typeface="Arial" panose="020B0604020202020204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/>
              </c:ext>
            </c:extLst>
          </c:dLbls>
          <c:cat>
            <c:numRef>
              <c:f>'[ПР5_Графіки.xlsx]Блок 1 ЦГТ'!$A$2:$A$14</c:f>
              <c:numCache>
                <c:formatCode>General</c:formatCode>
                <c:ptCount val="13"/>
                <c:pt idx="0">
                  <c:v>-3</c:v>
                </c:pt>
                <c:pt idx="1">
                  <c:v>-2.5</c:v>
                </c:pt>
                <c:pt idx="2">
                  <c:v>-2</c:v>
                </c:pt>
                <c:pt idx="3">
                  <c:v>-1.5</c:v>
                </c:pt>
                <c:pt idx="4">
                  <c:v>-1</c:v>
                </c:pt>
                <c:pt idx="5">
                  <c:v>-0.5</c:v>
                </c:pt>
                <c:pt idx="6">
                  <c:v>0</c:v>
                </c:pt>
                <c:pt idx="7">
                  <c:v>0.5</c:v>
                </c:pt>
                <c:pt idx="8">
                  <c:v>1</c:v>
                </c:pt>
                <c:pt idx="9">
                  <c:v>1.5</c:v>
                </c:pt>
                <c:pt idx="10">
                  <c:v>2</c:v>
                </c:pt>
                <c:pt idx="11">
                  <c:v>2.5</c:v>
                </c:pt>
                <c:pt idx="12">
                  <c:v>3</c:v>
                </c:pt>
              </c:numCache>
            </c:numRef>
          </c:cat>
          <c:val>
            <c:numRef>
              <c:f>'[ПР5_Графіки.xlsx]Блок 1 ЦГТ'!$G$2:$G$14</c:f>
              <c:numCache>
                <c:formatCode>0.0000</c:formatCode>
                <c:ptCount val="13"/>
                <c:pt idx="0">
                  <c:v>0.0044</c:v>
                </c:pt>
                <c:pt idx="1">
                  <c:v>0.0175</c:v>
                </c:pt>
                <c:pt idx="2">
                  <c:v>0.054</c:v>
                </c:pt>
                <c:pt idx="3">
                  <c:v>0.1295</c:v>
                </c:pt>
                <c:pt idx="4">
                  <c:v>0.242</c:v>
                </c:pt>
                <c:pt idx="5">
                  <c:v>0.3521</c:v>
                </c:pt>
                <c:pt idx="6">
                  <c:v>0.3989</c:v>
                </c:pt>
                <c:pt idx="7">
                  <c:v>0.3521</c:v>
                </c:pt>
                <c:pt idx="8">
                  <c:v>0.242</c:v>
                </c:pt>
                <c:pt idx="9">
                  <c:v>0.1295</c:v>
                </c:pt>
                <c:pt idx="10">
                  <c:v>0.054</c:v>
                </c:pt>
                <c:pt idx="11">
                  <c:v>0.0175</c:v>
                </c:pt>
                <c:pt idx="12">
                  <c:v>0.0044</c:v>
                </c:pt>
              </c:numCache>
            </c:numRef>
          </c:val>
          <c:smooth val="1"/>
        </c:ser>
        <c:dLbls>
          <c:showLegendKey val="0"/>
          <c:showVal val="0"/>
          <c:showCatName val="0"/>
          <c:showSerName val="0"/>
          <c:showPercent val="0"/>
          <c:showBubbleSize val="1"/>
        </c:dLbls>
        <c:hiLowLines>
          <c:spPr>
            <a:ln w="0" cap="flat" cmpd="sng" algn="ctr">
              <a:noFill/>
              <a:prstDash val="solid"/>
              <a:round/>
            </a:ln>
          </c:spPr>
        </c:hiLowLines>
        <c:marker val="0"/>
        <c:smooth val="1"/>
        <c:axId val="743926"/>
        <c:axId val="3825556"/>
      </c:lineChart>
      <c:catAx>
        <c:axId val="743926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ru-RU" sz="1000" b="1" i="0" u="none" strike="noStrike" kern="1200" spc="-1" baseline="0">
                    <a:solidFill>
                      <a:srgbClr val="000000"/>
                    </a:solidFill>
                    <a:latin typeface="Calibri" panose="020F0502020204030204"/>
                    <a:ea typeface="+mn-ea"/>
                    <a:cs typeface="+mn-cs"/>
                  </a:defRPr>
                </a:pPr>
                <a:r>
                  <a:rPr sz="1000" b="1" strike="noStrike" spc="-1">
                    <a:solidFill>
                      <a:srgbClr val="000000"/>
                    </a:solidFill>
                    <a:latin typeface="Calibri" panose="020F0502020204030204"/>
                  </a:rPr>
                  <a:t>Значення z</a:t>
                </a:r>
                <a:endParaRPr sz="1000" b="1" strike="noStrike" spc="-1">
                  <a:solidFill>
                    <a:srgbClr val="000000"/>
                  </a:solidFill>
                  <a:latin typeface="Calibri" panose="020F0502020204030204"/>
                </a:endParaRPr>
              </a:p>
            </c:rich>
          </c:tx>
          <c:layout/>
          <c:overlay val="0"/>
          <c:spPr>
            <a:noFill/>
            <a:ln w="0"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ln w="9360" cap="flat" cmpd="sng" algn="ctr">
            <a:solidFill>
              <a:srgbClr val="878787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spc="-1" baseline="0">
                <a:solidFill>
                  <a:srgbClr val="000000"/>
                </a:solidFill>
                <a:latin typeface="Calibri" panose="020F0502020204030204"/>
                <a:ea typeface="+mn-ea"/>
                <a:cs typeface="+mn-cs"/>
              </a:defRPr>
            </a:pPr>
          </a:p>
        </c:txPr>
        <c:crossAx val="3825556"/>
        <c:crosses val="autoZero"/>
        <c:auto val="1"/>
        <c:lblAlgn val="ctr"/>
        <c:lblOffset val="100"/>
        <c:noMultiLvlLbl val="0"/>
      </c:catAx>
      <c:valAx>
        <c:axId val="3825556"/>
        <c:scaling>
          <c:orientation val="minMax"/>
        </c:scaling>
        <c:delete val="0"/>
        <c:axPos val="l"/>
        <c:majorGridlines>
          <c:spPr>
            <a:ln w="9360" cap="flat" cmpd="sng" algn="ctr">
              <a:solidFill>
                <a:srgbClr val="878787"/>
              </a:solidFill>
              <a:prstDash val="solid"/>
              <a:round/>
            </a:ln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ru-RU" sz="1000" b="1" i="0" u="none" strike="noStrike" kern="1200" spc="-1" baseline="0">
                    <a:solidFill>
                      <a:srgbClr val="000000"/>
                    </a:solidFill>
                    <a:latin typeface="Calibri" panose="020F0502020204030204"/>
                    <a:ea typeface="+mn-ea"/>
                    <a:cs typeface="+mn-cs"/>
                  </a:defRPr>
                </a:pPr>
                <a:r>
                  <a:rPr sz="1000" b="1" strike="noStrike" spc="-1">
                    <a:solidFill>
                      <a:srgbClr val="000000"/>
                    </a:solidFill>
                    <a:latin typeface="Calibri" panose="020F0502020204030204"/>
                  </a:rPr>
                  <a:t>Щільність f(z)</a:t>
                </a:r>
                <a:endParaRPr sz="1000" b="1" strike="noStrike" spc="-1">
                  <a:solidFill>
                    <a:srgbClr val="000000"/>
                  </a:solidFill>
                  <a:latin typeface="Calibri" panose="020F0502020204030204"/>
                </a:endParaRPr>
              </a:p>
            </c:rich>
          </c:tx>
          <c:layout/>
          <c:overlay val="0"/>
          <c:spPr>
            <a:noFill/>
            <a:ln w="0">
              <a:noFill/>
            </a:ln>
          </c:spPr>
        </c:title>
        <c:numFmt formatCode="0.0000" sourceLinked="1"/>
        <c:majorTickMark val="none"/>
        <c:minorTickMark val="none"/>
        <c:tickLblPos val="nextTo"/>
        <c:spPr>
          <a:ln w="9360" cap="flat" cmpd="sng" algn="ctr">
            <a:solidFill>
              <a:srgbClr val="878787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spc="-1" baseline="0">
                <a:solidFill>
                  <a:srgbClr val="000000"/>
                </a:solidFill>
                <a:latin typeface="Calibri" panose="020F0502020204030204"/>
                <a:ea typeface="+mn-ea"/>
                <a:cs typeface="+mn-cs"/>
              </a:defRPr>
            </a:pPr>
          </a:p>
        </c:txPr>
        <c:crossAx val="743926"/>
        <c:crosses val="autoZero"/>
        <c:crossBetween val="between"/>
      </c:valAx>
      <c:spPr>
        <a:noFill/>
        <a:ln w="0">
          <a:noFill/>
        </a:ln>
      </c:spPr>
    </c:plotArea>
    <c:legend>
      <c:legendPos val="r"/>
      <c:layout/>
      <c:overlay val="0"/>
      <c:spPr>
        <a:noFill/>
        <a:ln w="0">
          <a:noFill/>
        </a:ln>
      </c:spPr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spc="-1" baseline="0">
              <a:solidFill>
                <a:srgbClr val="000000"/>
              </a:solidFill>
              <a:latin typeface="Calibri" panose="020F0502020204030204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5166c62-6df6-4044-8df6-38ff55514a51}"/>
      </c:ext>
    </c:extLst>
  </c:chart>
  <c:spPr>
    <a:solidFill>
      <a:srgbClr val="FFFFFF"/>
    </a:solidFill>
    <a:ln w="9360" cap="flat" cmpd="sng" algn="ctr">
      <a:solidFill>
        <a:srgbClr val="D9D9D9"/>
      </a:solidFill>
      <a:prstDash val="solid"/>
      <a:round/>
    </a:ln>
  </c:spPr>
  <c:txPr>
    <a:bodyPr/>
    <a:lstStyle/>
    <a:p>
      <a:pPr>
        <a:defRPr lang="ru-RU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>
              <a:defRPr lang="ru-RU" sz="1800" b="1" i="0" u="none" strike="noStrike" kern="1200" spc="-1" baseline="0">
                <a:solidFill>
                  <a:srgbClr val="000000"/>
                </a:solidFill>
                <a:latin typeface="Calibri" panose="020F0502020204030204"/>
                <a:ea typeface="+mn-ea"/>
                <a:cs typeface="+mn-cs"/>
              </a:defRPr>
            </a:pPr>
            <a:r>
              <a:rPr sz="1800" b="1" strike="noStrike" spc="-1">
                <a:solidFill>
                  <a:srgbClr val="000000"/>
                </a:solidFill>
                <a:latin typeface="Calibri" panose="020F0502020204030204"/>
              </a:rPr>
              <a:t>Блок 2 (Варіант 2): Щільність розподілу часу безвідмовної роботи Exp(0.05)</a:t>
            </a:r>
            <a:endParaRPr sz="1800" b="1" strike="noStrike" spc="-1">
              <a:solidFill>
                <a:srgbClr val="000000"/>
              </a:solidFill>
              <a:latin typeface="Calibri" panose="020F0502020204030204"/>
            </a:endParaRPr>
          </a:p>
        </c:rich>
      </c:tx>
      <c:layout/>
      <c:overlay val="0"/>
      <c:spPr>
        <a:noFill/>
        <a:ln w="0"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'[ПР5_Графіки.xlsx]Блок 2 Варіант 2'!$C$1</c:f>
              <c:strCache>
                <c:ptCount val="1"/>
                <c:pt idx="0">
                  <c:v>Емпірична щільність f*(x)</c:v>
                </c:pt>
              </c:strCache>
            </c:strRef>
          </c:tx>
          <c:spPr>
            <a:ln w="47520" cap="rnd" cmpd="sng" algn="ctr">
              <a:solidFill>
                <a:srgbClr val="4A7EBB"/>
              </a:solidFill>
              <a:prstDash val="solid"/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none" lIns="38100" tIns="19050" rIns="38100" bIns="19050" anchor="ctr" anchorCtr="1"/>
              <a:lstStyle/>
              <a:p>
                <a:pPr>
                  <a:defRPr lang="ru-RU" sz="1000" b="0" i="0" u="none" strike="noStrike" kern="1200" spc="-1" baseline="0">
                    <a:solidFill>
                      <a:sysClr val="windowText" lastClr="000000"/>
                    </a:solidFill>
                    <a:latin typeface="Arial" panose="020B0604020202020204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/>
              </c:ext>
            </c:extLst>
          </c:dLbls>
          <c:cat>
            <c:strRef>
              <c:f>'[ПР5_Графіки.xlsx]Блок 2 Варіант 2'!$A$2:$A$11</c:f>
              <c:strCache>
                <c:ptCount val="10"/>
                <c:pt idx="0">
                  <c:v>0 - 10</c:v>
                </c:pt>
                <c:pt idx="1">
                  <c:v>10 - 20</c:v>
                </c:pt>
                <c:pt idx="2">
                  <c:v>20 - 30</c:v>
                </c:pt>
                <c:pt idx="3">
                  <c:v>30 - 40</c:v>
                </c:pt>
                <c:pt idx="4">
                  <c:v>40 - 50</c:v>
                </c:pt>
                <c:pt idx="5">
                  <c:v>50 - 60</c:v>
                </c:pt>
                <c:pt idx="6">
                  <c:v>60 - 70</c:v>
                </c:pt>
                <c:pt idx="7">
                  <c:v>70 - 80</c:v>
                </c:pt>
                <c:pt idx="8">
                  <c:v>80 - 90</c:v>
                </c:pt>
                <c:pt idx="9">
                  <c:v>90 - 100</c:v>
                </c:pt>
              </c:strCache>
            </c:strRef>
          </c:cat>
          <c:val>
            <c:numRef>
              <c:f>'[ПР5_Графіки.xlsx]Блок 2 Варіант 2'!$C$2:$C$11</c:f>
              <c:numCache>
                <c:formatCode>0.00000</c:formatCode>
                <c:ptCount val="10"/>
                <c:pt idx="0">
                  <c:v>0.03944</c:v>
                </c:pt>
                <c:pt idx="1">
                  <c:v>0.02378</c:v>
                </c:pt>
                <c:pt idx="2">
                  <c:v>0.01434</c:v>
                </c:pt>
                <c:pt idx="3">
                  <c:v>0.00891</c:v>
                </c:pt>
                <c:pt idx="4">
                  <c:v>0.00536</c:v>
                </c:pt>
                <c:pt idx="5">
                  <c:v>0.00323</c:v>
                </c:pt>
                <c:pt idx="6">
                  <c:v>0.00197</c:v>
                </c:pt>
                <c:pt idx="7">
                  <c:v>0.0012</c:v>
                </c:pt>
                <c:pt idx="8">
                  <c:v>0.0007</c:v>
                </c:pt>
                <c:pt idx="9">
                  <c:v>0.00041</c:v>
                </c:pt>
              </c:numCache>
            </c:numRef>
          </c:val>
          <c:smooth val="1"/>
        </c:ser>
        <c:ser>
          <c:idx val="1"/>
          <c:order val="1"/>
          <c:tx>
            <c:strRef>
              <c:f>'[ПР5_Графіки.xlsx]Блок 2 Варіант 2'!$D$1</c:f>
              <c:strCache>
                <c:ptCount val="1"/>
                <c:pt idx="0">
                  <c:v>Теоретична щільність f(x)</c:v>
                </c:pt>
              </c:strCache>
            </c:strRef>
          </c:tx>
          <c:spPr>
            <a:ln w="47520" cap="rnd" cmpd="sng" algn="ctr">
              <a:solidFill>
                <a:srgbClr val="BE4B48"/>
              </a:solidFill>
              <a:prstDash val="solid"/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none" lIns="38100" tIns="19050" rIns="38100" bIns="19050" anchor="ctr" anchorCtr="1"/>
              <a:lstStyle/>
              <a:p>
                <a:pPr>
                  <a:defRPr lang="ru-RU" sz="1000" b="0" i="0" u="none" strike="noStrike" kern="1200" spc="-1" baseline="0">
                    <a:solidFill>
                      <a:sysClr val="windowText" lastClr="000000"/>
                    </a:solidFill>
                    <a:latin typeface="Arial" panose="020B0604020202020204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/>
              </c:ext>
            </c:extLst>
          </c:dLbls>
          <c:cat>
            <c:strRef>
              <c:f>'[ПР5_Графіки.xlsx]Блок 2 Варіант 2'!$A$2:$A$11</c:f>
              <c:strCache>
                <c:ptCount val="10"/>
                <c:pt idx="0">
                  <c:v>0 - 10</c:v>
                </c:pt>
                <c:pt idx="1">
                  <c:v>10 - 20</c:v>
                </c:pt>
                <c:pt idx="2">
                  <c:v>20 - 30</c:v>
                </c:pt>
                <c:pt idx="3">
                  <c:v>30 - 40</c:v>
                </c:pt>
                <c:pt idx="4">
                  <c:v>40 - 50</c:v>
                </c:pt>
                <c:pt idx="5">
                  <c:v>50 - 60</c:v>
                </c:pt>
                <c:pt idx="6">
                  <c:v>60 - 70</c:v>
                </c:pt>
                <c:pt idx="7">
                  <c:v>70 - 80</c:v>
                </c:pt>
                <c:pt idx="8">
                  <c:v>80 - 90</c:v>
                </c:pt>
                <c:pt idx="9">
                  <c:v>90 - 100</c:v>
                </c:pt>
              </c:strCache>
            </c:strRef>
          </c:cat>
          <c:val>
            <c:numRef>
              <c:f>'[ПР5_Графіки.xlsx]Блок 2 Варіант 2'!$D$2:$D$11</c:f>
              <c:numCache>
                <c:formatCode>0.00000</c:formatCode>
                <c:ptCount val="10"/>
                <c:pt idx="0">
                  <c:v>0.03894</c:v>
                </c:pt>
                <c:pt idx="1">
                  <c:v>0.02362</c:v>
                </c:pt>
                <c:pt idx="2">
                  <c:v>0.01433</c:v>
                </c:pt>
                <c:pt idx="3">
                  <c:v>0.00869</c:v>
                </c:pt>
                <c:pt idx="4">
                  <c:v>0.00527</c:v>
                </c:pt>
                <c:pt idx="5">
                  <c:v>0.0032</c:v>
                </c:pt>
                <c:pt idx="6">
                  <c:v>0.00194</c:v>
                </c:pt>
                <c:pt idx="7">
                  <c:v>0.00118</c:v>
                </c:pt>
                <c:pt idx="8">
                  <c:v>0.00071</c:v>
                </c:pt>
                <c:pt idx="9">
                  <c:v>0.00043</c:v>
                </c:pt>
              </c:numCache>
            </c:numRef>
          </c:val>
          <c:smooth val="1"/>
        </c:ser>
        <c:dLbls>
          <c:showLegendKey val="0"/>
          <c:showVal val="0"/>
          <c:showCatName val="0"/>
          <c:showSerName val="0"/>
          <c:showPercent val="0"/>
          <c:showBubbleSize val="1"/>
        </c:dLbls>
        <c:hiLowLines>
          <c:spPr>
            <a:ln w="0" cap="flat" cmpd="sng" algn="ctr">
              <a:noFill/>
              <a:prstDash val="solid"/>
              <a:round/>
            </a:ln>
          </c:spPr>
        </c:hiLowLines>
        <c:marker val="0"/>
        <c:smooth val="1"/>
        <c:axId val="90754523"/>
        <c:axId val="67390327"/>
      </c:lineChart>
      <c:catAx>
        <c:axId val="90754523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ru-RU" sz="1000" b="1" i="0" u="none" strike="noStrike" kern="1200" spc="-1" baseline="0">
                    <a:solidFill>
                      <a:srgbClr val="000000"/>
                    </a:solidFill>
                    <a:latin typeface="Calibri" panose="020F0502020204030204"/>
                    <a:ea typeface="+mn-ea"/>
                    <a:cs typeface="+mn-cs"/>
                  </a:defRPr>
                </a:pPr>
                <a:r>
                  <a:rPr sz="1000" b="1" strike="noStrike" spc="-1">
                    <a:solidFill>
                      <a:srgbClr val="000000"/>
                    </a:solidFill>
                    <a:latin typeface="Calibri" panose="020F0502020204030204"/>
                  </a:rPr>
                  <a:t>Інтервал часу (год)</a:t>
                </a:r>
                <a:endParaRPr sz="1000" b="1" strike="noStrike" spc="-1">
                  <a:solidFill>
                    <a:srgbClr val="000000"/>
                  </a:solidFill>
                  <a:latin typeface="Calibri" panose="020F0502020204030204"/>
                </a:endParaRPr>
              </a:p>
            </c:rich>
          </c:tx>
          <c:layout/>
          <c:overlay val="0"/>
          <c:spPr>
            <a:noFill/>
            <a:ln w="0"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ln w="9360" cap="flat" cmpd="sng" algn="ctr">
            <a:solidFill>
              <a:srgbClr val="878787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spc="-1" baseline="0">
                <a:solidFill>
                  <a:srgbClr val="000000"/>
                </a:solidFill>
                <a:latin typeface="Calibri" panose="020F0502020204030204"/>
                <a:ea typeface="+mn-ea"/>
                <a:cs typeface="+mn-cs"/>
              </a:defRPr>
            </a:pPr>
          </a:p>
        </c:txPr>
        <c:crossAx val="67390327"/>
        <c:crosses val="autoZero"/>
        <c:auto val="1"/>
        <c:lblAlgn val="ctr"/>
        <c:lblOffset val="100"/>
        <c:noMultiLvlLbl val="0"/>
      </c:catAx>
      <c:valAx>
        <c:axId val="67390327"/>
        <c:scaling>
          <c:orientation val="minMax"/>
        </c:scaling>
        <c:delete val="0"/>
        <c:axPos val="l"/>
        <c:majorGridlines>
          <c:spPr>
            <a:ln w="9360" cap="flat" cmpd="sng" algn="ctr">
              <a:solidFill>
                <a:srgbClr val="878787"/>
              </a:solidFill>
              <a:prstDash val="solid"/>
              <a:round/>
            </a:ln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ru-RU" sz="1000" b="1" i="0" u="none" strike="noStrike" kern="1200" spc="-1" baseline="0">
                    <a:solidFill>
                      <a:srgbClr val="000000"/>
                    </a:solidFill>
                    <a:latin typeface="Calibri" panose="020F0502020204030204"/>
                    <a:ea typeface="+mn-ea"/>
                    <a:cs typeface="+mn-cs"/>
                  </a:defRPr>
                </a:pPr>
                <a:r>
                  <a:rPr sz="1000" b="1" strike="noStrike" spc="-1">
                    <a:solidFill>
                      <a:srgbClr val="000000"/>
                    </a:solidFill>
                    <a:latin typeface="Calibri" panose="020F0502020204030204"/>
                  </a:rPr>
                  <a:t>Щільність f(x)</a:t>
                </a:r>
                <a:endParaRPr sz="1000" b="1" strike="noStrike" spc="-1">
                  <a:solidFill>
                    <a:srgbClr val="000000"/>
                  </a:solidFill>
                  <a:latin typeface="Calibri" panose="020F0502020204030204"/>
                </a:endParaRPr>
              </a:p>
            </c:rich>
          </c:tx>
          <c:layout/>
          <c:overlay val="0"/>
          <c:spPr>
            <a:noFill/>
            <a:ln w="0">
              <a:noFill/>
            </a:ln>
          </c:spPr>
        </c:title>
        <c:numFmt formatCode="0.00000" sourceLinked="1"/>
        <c:majorTickMark val="none"/>
        <c:minorTickMark val="none"/>
        <c:tickLblPos val="nextTo"/>
        <c:spPr>
          <a:ln w="9360" cap="flat" cmpd="sng" algn="ctr">
            <a:solidFill>
              <a:srgbClr val="878787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spc="-1" baseline="0">
                <a:solidFill>
                  <a:srgbClr val="000000"/>
                </a:solidFill>
                <a:latin typeface="Calibri" panose="020F0502020204030204"/>
                <a:ea typeface="+mn-ea"/>
                <a:cs typeface="+mn-cs"/>
              </a:defRPr>
            </a:pPr>
          </a:p>
        </c:txPr>
        <c:crossAx val="90754523"/>
        <c:crosses val="autoZero"/>
        <c:crossBetween val="between"/>
      </c:valAx>
      <c:spPr>
        <a:noFill/>
        <a:ln w="0">
          <a:noFill/>
        </a:ln>
      </c:spPr>
    </c:plotArea>
    <c:legend>
      <c:legendPos val="r"/>
      <c:layout/>
      <c:overlay val="0"/>
      <c:spPr>
        <a:noFill/>
        <a:ln w="0">
          <a:noFill/>
        </a:ln>
      </c:spPr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spc="-1" baseline="0">
              <a:solidFill>
                <a:srgbClr val="000000"/>
              </a:solidFill>
              <a:latin typeface="Calibri" panose="020F0502020204030204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71172a2-5c26-4255-93be-258b4a935c74}"/>
      </c:ext>
    </c:extLst>
  </c:chart>
  <c:spPr>
    <a:solidFill>
      <a:srgbClr val="FFFFFF"/>
    </a:solidFill>
    <a:ln w="9360" cap="flat" cmpd="sng" algn="ctr">
      <a:solidFill>
        <a:srgbClr val="D9D9D9"/>
      </a:solidFill>
      <a:prstDash val="solid"/>
      <a:round/>
    </a:ln>
  </c:spPr>
  <c:txPr>
    <a:bodyPr/>
    <a:lstStyle/>
    <a:p>
      <a:pPr>
        <a:defRPr lang="ru-RU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>
              <a:defRPr lang="ru-RU" sz="1800" b="1" i="0" u="none" strike="noStrike" kern="1200" spc="-1" baseline="0">
                <a:solidFill>
                  <a:srgbClr val="000000"/>
                </a:solidFill>
                <a:latin typeface="Calibri" panose="020F0502020204030204"/>
                <a:ea typeface="+mn-ea"/>
                <a:cs typeface="+mn-cs"/>
              </a:defRPr>
            </a:pPr>
            <a:r>
              <a:rPr sz="1800" b="1" strike="noStrike" spc="-1">
                <a:solidFill>
                  <a:srgbClr val="000000"/>
                </a:solidFill>
                <a:latin typeface="Calibri" panose="020F0502020204030204"/>
              </a:rPr>
              <a:t>Блок 3: Функція розподілу F(x) затримок та перцентилі</a:t>
            </a:r>
            <a:endParaRPr sz="1800" b="1" strike="noStrike" spc="-1">
              <a:solidFill>
                <a:srgbClr val="000000"/>
              </a:solidFill>
              <a:latin typeface="Calibri" panose="020F0502020204030204"/>
            </a:endParaRPr>
          </a:p>
        </c:rich>
      </c:tx>
      <c:layout/>
      <c:overlay val="0"/>
      <c:spPr>
        <a:noFill/>
        <a:ln w="0"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'[ПР5_Графіки.xlsx]Блок 3 Затримки'!$B$1</c:f>
              <c:strCache>
                <c:ptCount val="1"/>
                <c:pt idx="0">
                  <c:v>Емпірична функція розподілу F(x)</c:v>
                </c:pt>
              </c:strCache>
            </c:strRef>
          </c:tx>
          <c:spPr>
            <a:ln w="47520" cap="rnd" cmpd="sng" algn="ctr">
              <a:solidFill>
                <a:srgbClr val="4A7EBB"/>
              </a:solidFill>
              <a:prstDash val="solid"/>
              <a:round/>
            </a:ln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none" lIns="38100" tIns="19050" rIns="38100" bIns="19050" anchor="ctr" anchorCtr="1"/>
              <a:lstStyle/>
              <a:p>
                <a:pPr>
                  <a:defRPr lang="ru-RU" sz="1000" b="0" i="0" u="none" strike="noStrike" kern="1200" spc="-1" baseline="0">
                    <a:solidFill>
                      <a:sysClr val="windowText" lastClr="000000"/>
                    </a:solidFill>
                    <a:latin typeface="Arial" panose="020B0604020202020204"/>
                    <a:ea typeface="+mn-ea"/>
                    <a:cs typeface="+mn-c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howBubbleSize val="1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/>
              </c:ext>
            </c:extLst>
          </c:dLbls>
          <c:cat>
            <c:strRef>
              <c:f>'[ПР5_Графіки.xlsx]Блок 3 Затримки'!$A$2:$A$11</c:f>
              <c:strCache>
                <c:ptCount val="10"/>
                <c:pt idx="0">
                  <c:v>10 мс</c:v>
                </c:pt>
                <c:pt idx="1">
                  <c:v>15 мс</c:v>
                </c:pt>
                <c:pt idx="2">
                  <c:v>20 мс (p50)</c:v>
                </c:pt>
                <c:pt idx="3">
                  <c:v>25 мс</c:v>
                </c:pt>
                <c:pt idx="4">
                  <c:v>28 мс (p90)</c:v>
                </c:pt>
                <c:pt idx="5">
                  <c:v>40 мс</c:v>
                </c:pt>
                <c:pt idx="6">
                  <c:v>72 мс (p95)</c:v>
                </c:pt>
                <c:pt idx="7">
                  <c:v>100 мс</c:v>
                </c:pt>
                <c:pt idx="8">
                  <c:v>150 мс</c:v>
                </c:pt>
                <c:pt idx="9">
                  <c:v>237 мс (p99)</c:v>
                </c:pt>
              </c:strCache>
            </c:strRef>
          </c:cat>
          <c:val>
            <c:numRef>
              <c:f>'[ПР5_Графіки.xlsx]Блок 3 Затримки'!$B$2:$B$11</c:f>
              <c:numCache>
                <c:formatCode>0.00000</c:formatCode>
                <c:ptCount val="10"/>
                <c:pt idx="0">
                  <c:v>0.01446</c:v>
                </c:pt>
                <c:pt idx="1">
                  <c:v>0.10811</c:v>
                </c:pt>
                <c:pt idx="2">
                  <c:v>0.46739</c:v>
                </c:pt>
                <c:pt idx="3">
                  <c:v>0.82764</c:v>
                </c:pt>
                <c:pt idx="4">
                  <c:v>0.9032</c:v>
                </c:pt>
                <c:pt idx="5">
                  <c:v>0.93248</c:v>
                </c:pt>
                <c:pt idx="6">
                  <c:v>0.95012</c:v>
                </c:pt>
                <c:pt idx="7">
                  <c:v>0.96179</c:v>
                </c:pt>
                <c:pt idx="8">
                  <c:v>0.97682</c:v>
                </c:pt>
                <c:pt idx="9">
                  <c:v>0.99</c:v>
                </c:pt>
              </c:numCache>
            </c:numRef>
          </c:val>
          <c:smooth val="1"/>
        </c:ser>
        <c:dLbls>
          <c:showLegendKey val="0"/>
          <c:showVal val="0"/>
          <c:showCatName val="0"/>
          <c:showSerName val="0"/>
          <c:showPercent val="0"/>
          <c:showBubbleSize val="1"/>
        </c:dLbls>
        <c:hiLowLines>
          <c:spPr>
            <a:ln w="0" cap="flat" cmpd="sng" algn="ctr">
              <a:noFill/>
              <a:prstDash val="solid"/>
              <a:round/>
            </a:ln>
          </c:spPr>
        </c:hiLowLines>
        <c:marker val="0"/>
        <c:smooth val="1"/>
        <c:axId val="44293835"/>
        <c:axId val="72443235"/>
      </c:lineChart>
      <c:catAx>
        <c:axId val="44293835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ru-RU" sz="1000" b="1" i="0" u="none" strike="noStrike" kern="1200" spc="-1" baseline="0">
                    <a:solidFill>
                      <a:srgbClr val="000000"/>
                    </a:solidFill>
                    <a:latin typeface="Calibri" panose="020F0502020204030204"/>
                    <a:ea typeface="+mn-ea"/>
                    <a:cs typeface="+mn-cs"/>
                  </a:defRPr>
                </a:pPr>
                <a:r>
                  <a:rPr sz="1000" b="1" strike="noStrike" spc="-1">
                    <a:solidFill>
                      <a:srgbClr val="000000"/>
                    </a:solidFill>
                    <a:latin typeface="Calibri" panose="020F0502020204030204"/>
                  </a:rPr>
                  <a:t>Затримка x (мс)</a:t>
                </a:r>
                <a:endParaRPr sz="1000" b="1" strike="noStrike" spc="-1">
                  <a:solidFill>
                    <a:srgbClr val="000000"/>
                  </a:solidFill>
                  <a:latin typeface="Calibri" panose="020F0502020204030204"/>
                </a:endParaRPr>
              </a:p>
            </c:rich>
          </c:tx>
          <c:layout/>
          <c:overlay val="0"/>
          <c:spPr>
            <a:noFill/>
            <a:ln w="0"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ln w="9360" cap="flat" cmpd="sng" algn="ctr">
            <a:solidFill>
              <a:srgbClr val="878787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spc="-1" baseline="0">
                <a:solidFill>
                  <a:srgbClr val="000000"/>
                </a:solidFill>
                <a:latin typeface="Calibri" panose="020F0502020204030204"/>
                <a:ea typeface="+mn-ea"/>
                <a:cs typeface="+mn-cs"/>
              </a:defRPr>
            </a:pPr>
          </a:p>
        </c:txPr>
        <c:crossAx val="72443235"/>
        <c:crosses val="autoZero"/>
        <c:auto val="1"/>
        <c:lblAlgn val="ctr"/>
        <c:lblOffset val="100"/>
        <c:noMultiLvlLbl val="0"/>
      </c:catAx>
      <c:valAx>
        <c:axId val="72443235"/>
        <c:scaling>
          <c:orientation val="minMax"/>
        </c:scaling>
        <c:delete val="0"/>
        <c:axPos val="l"/>
        <c:majorGridlines>
          <c:spPr>
            <a:ln w="9360" cap="flat" cmpd="sng" algn="ctr">
              <a:solidFill>
                <a:srgbClr val="878787"/>
              </a:solidFill>
              <a:prstDash val="solid"/>
              <a:round/>
            </a:ln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ru-RU" sz="1000" b="1" i="0" u="none" strike="noStrike" kern="1200" spc="-1" baseline="0">
                    <a:solidFill>
                      <a:srgbClr val="000000"/>
                    </a:solidFill>
                    <a:latin typeface="Calibri" panose="020F0502020204030204"/>
                    <a:ea typeface="+mn-ea"/>
                    <a:cs typeface="+mn-cs"/>
                  </a:defRPr>
                </a:pPr>
                <a:r>
                  <a:rPr sz="1000" b="1" strike="noStrike" spc="-1">
                    <a:solidFill>
                      <a:srgbClr val="000000"/>
                    </a:solidFill>
                    <a:latin typeface="Calibri" panose="020F0502020204030204"/>
                  </a:rPr>
                  <a:t>Ймовірність F(x)</a:t>
                </a:r>
                <a:endParaRPr sz="1000" b="1" strike="noStrike" spc="-1">
                  <a:solidFill>
                    <a:srgbClr val="000000"/>
                  </a:solidFill>
                  <a:latin typeface="Calibri" panose="020F0502020204030204"/>
                </a:endParaRPr>
              </a:p>
            </c:rich>
          </c:tx>
          <c:layout/>
          <c:overlay val="0"/>
          <c:spPr>
            <a:noFill/>
            <a:ln w="0">
              <a:noFill/>
            </a:ln>
          </c:spPr>
        </c:title>
        <c:numFmt formatCode="0.00000" sourceLinked="1"/>
        <c:majorTickMark val="none"/>
        <c:minorTickMark val="none"/>
        <c:tickLblPos val="nextTo"/>
        <c:spPr>
          <a:ln w="9360" cap="flat" cmpd="sng" algn="ctr">
            <a:solidFill>
              <a:srgbClr val="878787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spc="-1" baseline="0">
                <a:solidFill>
                  <a:srgbClr val="000000"/>
                </a:solidFill>
                <a:latin typeface="Calibri" panose="020F0502020204030204"/>
                <a:ea typeface="+mn-ea"/>
                <a:cs typeface="+mn-cs"/>
              </a:defRPr>
            </a:pPr>
          </a:p>
        </c:txPr>
        <c:crossAx val="44293835"/>
        <c:crosses val="autoZero"/>
        <c:crossBetween val="between"/>
      </c:valAx>
      <c:spPr>
        <a:noFill/>
        <a:ln w="0">
          <a:noFill/>
        </a:ln>
      </c:spPr>
    </c:plotArea>
    <c:legend>
      <c:legendPos val="r"/>
      <c:layout/>
      <c:overlay val="0"/>
      <c:spPr>
        <a:noFill/>
        <a:ln w="0">
          <a:noFill/>
        </a:ln>
      </c:spPr>
      <c:txPr>
        <a:bodyPr rot="0" spcFirstLastPara="0" vertOverflow="ellipsis" vert="horz" wrap="square" anchor="ctr" anchorCtr="1"/>
        <a:lstStyle/>
        <a:p>
          <a:pPr>
            <a:defRPr lang="ru-RU" sz="1000" b="0" i="0" u="none" strike="noStrike" kern="1200" spc="-1" baseline="0">
              <a:solidFill>
                <a:srgbClr val="000000"/>
              </a:solidFill>
              <a:latin typeface="Calibri" panose="020F0502020204030204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1f4b747-be5f-4b6e-9a7b-37c89d285355}"/>
      </c:ext>
    </c:extLst>
  </c:chart>
  <c:spPr>
    <a:solidFill>
      <a:srgbClr val="FFFFFF"/>
    </a:solidFill>
    <a:ln w="9360" cap="flat" cmpd="sng" algn="ctr">
      <a:solidFill>
        <a:srgbClr val="D9D9D9"/>
      </a:solidFill>
      <a:prstDash val="solid"/>
      <a:round/>
    </a:ln>
  </c:spPr>
  <c:txPr>
    <a:bodyPr/>
    <a:lstStyle/>
    <a:p>
      <a:pPr>
        <a:defRPr lang="ru-RU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宋体"/>
      <a:font script="Hant" typeface="新細明體"/>
      <a:font script="Arab" typeface="Traditional Arabic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ゴシック"/>
      <a:font script="Hang" typeface="맑은 고딕"/>
      <a:font script="Hans" typeface="宋体"/>
      <a:font script="Hant" typeface="新細明體"/>
      <a:font script="Arab" typeface="Traditional Arabic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宋体"/>
      <a:font script="Hant" typeface="新細明體"/>
      <a:font script="Arab" typeface="Traditional Arabic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ゴシック"/>
      <a:font script="Hang" typeface="맑은 고딕"/>
      <a:font script="Hans" typeface="宋体"/>
      <a:font script="Hant" typeface="新細明體"/>
      <a:font script="Arab" typeface="Traditional Arabic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宋体"/>
      <a:font script="Hant" typeface="新細明體"/>
      <a:font script="Arab" typeface="Traditional Arabic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ゴシック"/>
      <a:font script="Hang" typeface="맑은 고딕"/>
      <a:font script="Hans" typeface="宋体"/>
      <a:font script="Hant" typeface="新細明體"/>
      <a:font script="Arab" typeface="Traditional Arabic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A2D49-9208-4A53-B2E1-03A506A9FC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1784</Words>
  <Characters>10525</Characters>
  <Lines>5</Lines>
  <Paragraphs>3</Paragraphs>
  <TotalTime>7</TotalTime>
  <ScaleCrop>false</ScaleCrop>
  <LinksUpToDate>false</LinksUpToDate>
  <CharactersWithSpaces>12272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2022-01-20T22:45:00Z</dcterms:created>
  <dc:creator>ms</dc:creator>
  <cp:lastModifiedBy>Кексик YouTube</cp:lastModifiedBy>
  <dcterms:modified xsi:type="dcterms:W3CDTF">2026-10-19T20:54:38Z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eyJoZGlkIjoiZTUwYzc0YWUyMmYxN2RhYzQ3Y2RkYjA4ODg4ZjY3ZTMiLCJ1c2VySWQiOiIyODg2MjIxODMyNzk3In0=</vt:lpwstr>
  </property>
  <property fmtid="{D5CDD505-2E9C-101B-9397-08002B2CF9AE}" pid="3" name="KSOProductBuildVer">
    <vt:lpwstr>1049-12.1.0.29162</vt:lpwstr>
  </property>
  <property fmtid="{D5CDD505-2E9C-101B-9397-08002B2CF9AE}" pid="4" name="ICV">
    <vt:lpwstr>31E722E4827242D8802043D5D4C3394D_12</vt:lpwstr>
  </property>
</Properties>
</file>