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noProof/>
          <w:u w:val="single"/>
        </w:rPr>
        <w:fldChar w:fldCharType="begin"/>
      </w:r>
      <w:r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noProof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noProof/>
          <w:sz w:val="18"/>
          <w:szCs w:val="18"/>
        </w:rPr>
        <w:fldChar w:fldCharType="begin"/>
      </w:r>
      <w:r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noProof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noProof/>
          <w:sz w:val="18"/>
          <w:szCs w:val="18"/>
        </w:rPr>
        <w:fldChar w:fldCharType="begin"/>
      </w:r>
      <w:r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noProof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</w:pP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</w:t>
      </w:r>
      <w:r>
        <w:rPr>
          <w:rFonts w:ascii="Arial Narrow" w:hAnsi="Arial Narrow"/>
        </w:rPr>
        <w:lastRenderedPageBreak/>
        <w:t xml:space="preserve">independentemente do calendário da Escola e da fruição de aulas no período, sendo devido o pagamento até a conclusão do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</w:t>
      </w:r>
      <w:r>
        <w:rPr>
          <w:rFonts w:ascii="Arial Narrow" w:hAnsi="Arial Narrow" w:cs="Arial"/>
        </w:rPr>
        <w:t xml:space="preserve"> de juros e correção monetária, </w:t>
      </w:r>
      <w:r>
        <w:rPr>
          <w:rFonts w:ascii="Arial Narrow" w:hAnsi="Arial Narrow" w:cs="Arial"/>
        </w:rPr>
        <w:t>cessando com isso qualquer desconto e/ou concessão oferecida pela adimplência, pontualidade, e será encaminhado para protesto e/ou órgão de proteção ao crédito tais como SPC e SERASA.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</w:t>
      </w:r>
      <w:r>
        <w:rPr>
          <w:rFonts w:ascii="Arial Narrow" w:hAnsi="Arial Narrow"/>
          <w:bCs/>
          <w:sz w:val="22"/>
          <w:szCs w:val="22"/>
        </w:rPr>
        <w:lastRenderedPageBreak/>
        <w:t>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 w:cs="Arial"/>
          <w:b/>
          <w:bCs/>
        </w:rPr>
        <w:t xml:space="preserve">§7°- </w:t>
      </w:r>
      <w:r>
        <w:rPr>
          <w:rFonts w:ascii="Arial Narrow" w:hAnsi="Arial Narrow" w:cs="Arial"/>
          <w:bCs/>
        </w:rPr>
        <w:t>Caso o CONTRATANTE peça rescisão do contrato partindo de sua própria vontade, valores pagos com antecedência ficarão de crédito e poderão ser repassados para terceiros ou mantidos até a volta do aluno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</w:t>
      </w:r>
      <w:r>
        <w:rPr>
          <w:rFonts w:ascii="Arial Narrow" w:hAnsi="Arial Narrow"/>
        </w:rPr>
        <w:lastRenderedPageBreak/>
        <w:t xml:space="preserve">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>
        <w:rPr>
          <w:rFonts w:ascii="Arial Narrow" w:hAnsi="Arial Narrow"/>
          <w:color w:val="auto"/>
          <w:sz w:val="23"/>
          <w:szCs w:val="23"/>
        </w:rPr>
        <w:t>9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>
      <w:pPr>
        <w:ind w:left="120"/>
        <w:jc w:val="both"/>
        <w:rPr>
          <w:rFonts w:ascii="Arial Narrow" w:hAnsi="Arial Narrow"/>
          <w:b/>
          <w:sz w:val="18"/>
        </w:rPr>
      </w:pPr>
    </w:p>
    <w:p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Infantil: </w:t>
      </w:r>
      <w:r>
        <w:rPr>
          <w:rFonts w:ascii="Arial Narrow" w:eastAsia="Calibri" w:hAnsi="Arial Narrow"/>
          <w:sz w:val="22"/>
          <w:szCs w:val="22"/>
          <w:lang w:eastAsia="en-US"/>
        </w:rPr>
        <w:t>Chiquiteens.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.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 Inmediato 3.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Español Inmediato 3: 40 a 45h (cada livro).</w:t>
      </w:r>
    </w:p>
    <w:p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</w:t>
      </w:r>
      <w:r>
        <w:rPr>
          <w:rFonts w:ascii="Arial Narrow" w:hAnsi="Arial Narrow"/>
          <w:snapToGrid w:val="0"/>
        </w:rPr>
        <w:t>n in English – Essentials 1 e 2/</w:t>
      </w:r>
      <w:r>
        <w:rPr>
          <w:rFonts w:ascii="Arial Narrow" w:hAnsi="Arial Narrow"/>
          <w:snapToGrid w:val="0"/>
        </w:rPr>
        <w:t>Immediate Conversation in English –  Transitions 1</w:t>
      </w:r>
      <w:r>
        <w:rPr>
          <w:rFonts w:ascii="Arial Narrow" w:hAnsi="Arial Narrow"/>
          <w:snapToGrid w:val="0"/>
        </w:rPr>
        <w:t xml:space="preserve"> e 2 – Fluency 1 e 2.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Focus.</w:t>
      </w:r>
    </w:p>
    <w:p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</w:t>
      </w:r>
      <w:r>
        <w:rPr>
          <w:rFonts w:ascii="Arial Narrow" w:hAnsi="Arial Narrow"/>
          <w:snapToGrid w:val="0"/>
        </w:rPr>
        <w:t>Español Inmediato 1 e 2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r>
        <w:rPr>
          <w:rFonts w:ascii="Arial Narrow" w:hAnsi="Arial Narrow"/>
          <w:snapToGrid w:val="0"/>
          <w:color w:val="000000"/>
        </w:rPr>
        <w:t>Inmediato 3.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>
        <w:rPr>
          <w:rFonts w:ascii="Arial Narrow" w:hAnsi="Arial Narrow"/>
          <w:snapToGrid w:val="0"/>
        </w:rPr>
        <w:t>2h30 semanais.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>Não atingida a nota mínima, o Aluno pode submeter-se à nova avaliação (segunda chance), limitada a 1 (uma) por estágio, devendo ser realizada no prazo de uma semana, conforme horário estipulado pela Escola</w:t>
      </w:r>
      <w:r>
        <w:rPr>
          <w:rFonts w:ascii="Arial Narrow" w:hAnsi="Arial Narrow"/>
        </w:rPr>
        <w:t xml:space="preserve"> e mediante pagamento de taxa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>
        <w:rPr>
          <w:rFonts w:ascii="Arial Narrow" w:hAnsi="Arial Narrow"/>
          <w:bCs/>
          <w:snapToGrid w:val="0"/>
        </w:rPr>
        <w:t>Para os alunos do estágio FOCUS terá acesso ao Focus Online.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</w:t>
      </w:r>
      <w:r>
        <w:rPr>
          <w:rFonts w:ascii="Arial Narrow" w:hAnsi="Arial Narrow"/>
          <w:snapToGrid w:val="0"/>
        </w:rPr>
        <w:lastRenderedPageBreak/>
        <w:t>a qualquer momento durante o estágio, porém não são entregues – em nenhuma hipótese – ao Aluno, sendo vedada a extração de cópias.</w:t>
      </w:r>
    </w:p>
    <w:p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Español Inmediato 2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>Español Inmediato 3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r>
        <w:rPr>
          <w:rFonts w:ascii="Arial Narrow" w:hAnsi="Arial Narrow"/>
          <w:i/>
          <w:snapToGrid w:val="0"/>
        </w:rPr>
        <w:t>Español Inmediato 3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</w:t>
      </w:r>
      <w:r>
        <w:rPr>
          <w:rFonts w:ascii="Arial Narrow" w:hAnsi="Arial Narrow"/>
          <w:snapToGrid w:val="0"/>
        </w:rPr>
        <w:t>Examen SIELE</w:t>
      </w:r>
      <w:r>
        <w:rPr>
          <w:rFonts w:ascii="Arial Narrow" w:hAnsi="Arial Narrow"/>
          <w:snapToGrid w:val="0"/>
        </w:rPr>
        <w:t>” (espanhol) o Aluno deve estar frequentando o curso regularmente. Para prestar o exame Fisk Proficiency, o Aluno deverá, ainda, pagar a taxa correspondente.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r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 e Focus on</w:t>
      </w:r>
      <w:r>
        <w:rPr>
          <w:rFonts w:ascii="Arial Narrow" w:hAnsi="Arial Narrow"/>
        </w:rPr>
        <w:t xml:space="preserve"> Fisk Final, o aluno deverá </w:t>
      </w:r>
      <w:r>
        <w:rPr>
          <w:rFonts w:ascii="Arial Narrow" w:hAnsi="Arial Narrow"/>
        </w:rPr>
        <w:t>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Español Inmediato 3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</w:t>
      </w:r>
      <w:r>
        <w:rPr>
          <w:rFonts w:ascii="Arial Narrow" w:hAnsi="Arial Narrow"/>
          <w:snapToGrid w:val="0"/>
        </w:rPr>
        <w:lastRenderedPageBreak/>
        <w:t xml:space="preserve">pelo menos 3 (três) meses para ter direito à segunda chance, mantendo-se a obrigação pelo pagamento das parcelas.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Contrato-Inglês-e-Espanhol-2019</Template>
  <TotalTime>0</TotalTime>
  <Pages>13</Pages>
  <Words>3241</Words>
  <Characters>18474</Characters>
  <Application>Microsoft Office Word</Application>
  <DocSecurity>4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Organizações</dc:creator>
  <cp:lastModifiedBy>word</cp:lastModifiedBy>
  <cp:revision>2</cp:revision>
  <cp:lastPrinted>2011-12-08T13:22:00Z</cp:lastPrinted>
  <dcterms:created xsi:type="dcterms:W3CDTF">2019-12-19T13:55:00Z</dcterms:created>
  <dcterms:modified xsi:type="dcterms:W3CDTF">2019-12-19T13:55:00Z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