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700"/>
              <w:left w:type="dxa" w:w="400"/>
              <w:bottom w:type="dxa" w:w="200"/>
              <w:right w:type="dxa" w:w="400"/>
            </w:tcMar>
          </w:tcPr>
          <w:p>
            <w:pPr>
              <w:spacing w:after="50" w:before="0"/>
              <w:jc w:val="center"/>
            </w:pPr>
            <w:r>
              <w:rPr>
                <w:rFonts w:ascii="Calibri" w:cs="Calibri" w:eastAsia="Calibri" w:hAnsi="Calibri"/>
                <w:color w:val="7FAFD8"/>
                <w:spacing w:val="280"/>
                <w:sz w:val="17"/>
                <w:szCs w:val="17"/>
              </w:rPr>
              <w:t xml:space="preserve">DOCUMENTATION BASE DE DONNÉES</w:t>
            </w:r>
          </w:p>
          <w:p>
            <w:pPr>
              <w:spacing w:after="70" w:before="0"/>
              <w:jc w:val="center"/>
            </w:pPr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72"/>
                <w:szCs w:val="72"/>
              </w:rPr>
              <w:t xml:space="preserve">Nexus</w:t>
            </w:r>
          </w:p>
          <w:p>
            <w:pPr>
              <w:spacing w:after="60" w:before="0"/>
              <w:jc w:val="center"/>
            </w:pPr>
            <w:r>
              <w:rPr>
                <w:rFonts w:ascii="Calibri Light" w:cs="Calibri Light" w:eastAsia="Calibri Light" w:hAnsi="Calibri Light"/>
                <w:i/>
                <w:iCs/>
                <w:color w:val="A8C8E8"/>
                <w:sz w:val="26"/>
                <w:szCs w:val="26"/>
              </w:rPr>
              <w:t xml:space="preserve">Plateforme P2P Lending — Bénin / UEMOA</w:t>
            </w:r>
          </w:p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color w:val="7FAFD8"/>
                <w:sz w:val="19"/>
                <w:szCs w:val="19"/>
              </w:rPr>
              <w:t xml:space="preserve">Version 1.0 — Référence technique complète</w:t>
            </w:r>
          </w:p>
        </w:tc>
      </w:tr>
    </w:tbl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922A" w:val="clear"/>
            <w:tcMar>
              <w:top w:type="dxa" w:w="60"/>
              <w:left w:type="dxa" w:w="300"/>
              <w:bottom w:type="dxa" w:w="60"/>
              <w:right w:type="dxa" w:w="3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20 tables · 11 ENUMs · PostgreSQL · nexus_db / nexus_user</w:t>
            </w:r>
          </w:p>
        </w:tc>
      </w:tr>
    </w:tbl>
    <w:p>
      <w:pPr>
        <w:spacing w:after="4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D6E4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8"/>
                <w:szCs w:val="18"/>
              </w:rPr>
              <w:t xml:space="preserve">Base de données</w:t>
            </w:r>
          </w:p>
        </w:tc>
        <w:tc>
          <w:tcPr>
            <w:tcW w:type="dxa" w:w="636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4B5563"/>
                <w:sz w:val="18"/>
                <w:szCs w:val="18"/>
              </w:rPr>
              <w:t xml:space="preserve">nexus_db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D6E4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8"/>
                <w:szCs w:val="18"/>
              </w:rPr>
              <w:t xml:space="preserve">Utilisateur dédié</w:t>
            </w:r>
          </w:p>
        </w:tc>
        <w:tc>
          <w:tcPr>
            <w:tcW w:type="dxa" w:w="636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4B5563"/>
                <w:sz w:val="18"/>
                <w:szCs w:val="18"/>
              </w:rPr>
              <w:t xml:space="preserve">nexus_user (non superutilisateur)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D6E4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8"/>
                <w:szCs w:val="18"/>
              </w:rPr>
              <w:t xml:space="preserve">Connexion</w:t>
            </w:r>
          </w:p>
        </w:tc>
        <w:tc>
          <w:tcPr>
            <w:tcW w:type="dxa" w:w="636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4B5563"/>
                <w:sz w:val="18"/>
                <w:szCs w:val="18"/>
              </w:rPr>
              <w:t xml:space="preserve">psql -U nexus_user -d nexus_db -h localhost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D6E4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8"/>
                <w:szCs w:val="18"/>
              </w:rPr>
              <w:t xml:space="preserve">Encodage</w:t>
            </w:r>
          </w:p>
        </w:tc>
        <w:tc>
          <w:tcPr>
            <w:tcW w:type="dxa" w:w="636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4B5563"/>
                <w:sz w:val="18"/>
                <w:szCs w:val="18"/>
              </w:rPr>
              <w:t xml:space="preserve">UTF8 / fr_FR.UTF-8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D6E4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8"/>
                <w:szCs w:val="18"/>
              </w:rPr>
              <w:t xml:space="preserve">Version PostgreSQL</w:t>
            </w:r>
          </w:p>
        </w:tc>
        <w:tc>
          <w:tcPr>
            <w:tcW w:type="dxa" w:w="636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4B5563"/>
                <w:sz w:val="18"/>
                <w:szCs w:val="18"/>
              </w:rPr>
              <w:t xml:space="preserve">18.1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D6E4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8"/>
                <w:szCs w:val="18"/>
              </w:rPr>
              <w:t xml:space="preserve">Tables créées</w:t>
            </w:r>
          </w:p>
        </w:tc>
        <w:tc>
          <w:tcPr>
            <w:tcW w:type="dxa" w:w="636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4B5563"/>
                <w:sz w:val="18"/>
                <w:szCs w:val="18"/>
              </w:rPr>
              <w:t xml:space="preserve">20 tables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D6E4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8"/>
                <w:szCs w:val="18"/>
              </w:rPr>
              <w:t xml:space="preserve">ENUMs créés</w:t>
            </w:r>
          </w:p>
        </w:tc>
        <w:tc>
          <w:tcPr>
            <w:tcW w:type="dxa" w:w="636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4B5563"/>
                <w:sz w:val="18"/>
                <w:szCs w:val="18"/>
              </w:rPr>
              <w:t xml:space="preserve">11 types énumérés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D6E4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8"/>
                <w:szCs w:val="18"/>
              </w:rPr>
              <w:t xml:space="preserve">Authentification</w:t>
            </w:r>
          </w:p>
        </w:tc>
        <w:tc>
          <w:tcPr>
            <w:tcW w:type="dxa" w:w="636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4B5563"/>
                <w:sz w:val="18"/>
                <w:szCs w:val="18"/>
              </w:rPr>
              <w:t xml:space="preserve">md5 (pg_hba.conf modifié)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D6E4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8"/>
                <w:szCs w:val="18"/>
              </w:rPr>
              <w:t xml:space="preserve">Date de création</w:t>
            </w:r>
          </w:p>
        </w:tc>
        <w:tc>
          <w:tcPr>
            <w:tcW w:type="dxa" w:w="636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4B5563"/>
                <w:sz w:val="18"/>
                <w:szCs w:val="18"/>
              </w:rPr>
              <w:t xml:space="preserve">Avril 2025</w:t>
            </w:r>
          </w:p>
        </w:tc>
      </w:tr>
    </w:tbl>
    <w:p>
      <w:r>
        <w:br w:type="page"/>
      </w:r>
    </w:p>
    <w:p>
      <w:pPr>
        <w:pStyle w:val="Heading1"/>
        <w:shd w:fill="0D1F3C" w:val="clear"/>
        <w:spacing w:after="140" w:before="360"/>
      </w:pPr>
      <w:r>
        <w:rPr>
          <w:rFonts w:ascii="Calibri Light" w:cs="Calibri Light" w:eastAsia="Calibri Light" w:hAnsi="Calibri Light"/>
          <w:b/>
          <w:bCs/>
          <w:color w:val="FFFFFF"/>
          <w:sz w:val="28"/>
          <w:szCs w:val="28"/>
        </w:rPr>
        <w:t xml:space="preserve">  1. CONNEXION À LA BASE DE DONNÉES</w:t>
      </w:r>
    </w:p>
    <w:p>
      <w:pPr>
        <w:spacing w:after="80" w:before="0"/>
      </w:pPr>
    </w:p>
    <w:p>
      <w:pPr>
        <w:spacing w:after="70" w:before="4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Utilise toujours cette commande pour te connecter — jamais en superutilisateur postgres pour le développement quotidien.</w:t>
      </w:r>
    </w:p>
    <w:p>
      <w:pPr>
        <w:spacing w:after="60" w:before="0"/>
      </w:pPr>
    </w:p>
    <w:p>
      <w:pPr>
        <w:shd w:fill="1E1E1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psql -U nexus_user -d nexus_db -h localhost</w:t>
      </w:r>
    </w:p>
    <w:p>
      <w:pPr>
        <w:spacing w:after="40" w:before="0"/>
      </w:pPr>
    </w:p>
    <w:p>
      <w:pPr>
        <w:spacing w:after="70" w:before="4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Mot de passe : nexus123  (à changer en production)</w:t>
      </w:r>
    </w:p>
    <w:p>
      <w:pPr>
        <w:spacing w:after="80" w:before="0"/>
      </w:pPr>
    </w:p>
    <w:p>
      <w:pPr>
        <w:pStyle w:val="Heading2"/>
        <w:pBdr>
          <w:left w:val="single" w:color="2E75B6" w:sz="18" w:space="8"/>
        </w:pBdr>
        <w:spacing w:after="100" w:before="260"/>
        <w:ind w:left="18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Commandes psql essentielles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000"/>
        <w:gridCol w:w="2760"/>
      </w:tblGrid>
      <w:tr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Commande</w:t>
            </w:r>
          </w:p>
        </w:tc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Syntaxe</w:t>
            </w:r>
          </w:p>
        </w:tc>
        <w:tc>
          <w:tcPr>
            <w:tcW w:type="dxa" w:w="3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27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Remarque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Lister les bases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\l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Affiche toutes les bases de données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Utile pour vérifier que nexus_db existe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Lister les tables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\dt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Affiche toutes les tables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Doit afficher 20 tables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Lister les ENUMs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\dT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Affiche tous les types ENUM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Doit afficher 11 ENUMs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Décrire une table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\d nom_table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Affiche colonnes, types, contraintes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Ex: \d users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Infos connexion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\conninfo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Affiche utilisateur et base actifs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Confirme nexus_user sur nexus_db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Quitter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\q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Ferme la session psql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Retourne au terminal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Quitter un affichage long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q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Quitte la vue paginée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Quand le terminal affiche (END)</w:t>
            </w:r>
          </w:p>
        </w:tc>
      </w:tr>
    </w:tbl>
    <w:p>
      <w:pPr>
        <w:spacing w:after="140" w:before="0"/>
      </w:pPr>
    </w:p>
    <w:p>
      <w:r>
        <w:br w:type="page"/>
      </w:r>
    </w:p>
    <w:p>
      <w:pPr>
        <w:pStyle w:val="Heading1"/>
        <w:shd w:fill="0D1F3C" w:val="clear"/>
        <w:spacing w:after="140" w:before="360"/>
      </w:pPr>
      <w:r>
        <w:rPr>
          <w:rFonts w:ascii="Calibri Light" w:cs="Calibri Light" w:eastAsia="Calibri Light" w:hAnsi="Calibri Light"/>
          <w:b/>
          <w:bCs/>
          <w:color w:val="FFFFFF"/>
          <w:sz w:val="28"/>
          <w:szCs w:val="28"/>
        </w:rPr>
        <w:t xml:space="preserve">  2. ÉNUMÉRATIONS (ENUMs)</w:t>
      </w:r>
    </w:p>
    <w:p>
      <w:pPr>
        <w:spacing w:after="80" w:before="0"/>
      </w:pPr>
    </w:p>
    <w:p>
      <w:pPr>
        <w:spacing w:after="70" w:before="4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Les ENUMs sont des types de données personnalisés qui limitent les valeurs possibles d'un champ. Ils sont créés avant les tables car les tables en dépendent.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2000"/>
        <w:gridCol w:w="1660"/>
      </w:tblGrid>
      <w:tr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Nom ENUM</w:t>
            </w:r>
          </w:p>
        </w:tc>
        <w:tc>
          <w:tcPr>
            <w:tcW w:type="dxa" w:w="3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Valeurs autorisées</w:t>
            </w:r>
          </w:p>
        </w:tc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Utilisé dans</w:t>
            </w:r>
          </w:p>
        </w:tc>
        <w:tc>
          <w:tcPr>
            <w:tcW w:type="dxa" w:w="16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Règle clé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user_status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PENDING, ACTIVE, SUSPENDED, BLOCKED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users</w:t>
            </w:r>
          </w:p>
        </w:tc>
        <w:tc>
          <w:tcPr>
            <w:tcW w:type="dxa" w:w="1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PENDING par défaut — VALIDATED requis pour transacter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kyc_status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NOT_STARTED, SESSION1_DONE, SESSION2_DONE, VALIDATED, REJECTED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users</w:t>
            </w:r>
          </w:p>
        </w:tc>
        <w:tc>
          <w:tcPr>
            <w:tcW w:type="dxa" w:w="1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3 sessions progressives — VALIDATED avant toute transaction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loan_status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PENDING_IMF, FUNDING, ACTIVE, OVERDUE, GUARANTEE_ACTIVATED, REPURCHASED, REPAID, CANCELLED, RESTRUCTURED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loans</w:t>
            </w:r>
          </w:p>
        </w:tc>
        <w:tc>
          <w:tcPr>
            <w:tcW w:type="dxa" w:w="1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9 états — cycle de vie complet d'un prêt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investment_status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ACTIVE, COMPLETED, DEFAULTED, GUARANTEED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investments</w:t>
            </w:r>
          </w:p>
        </w:tc>
        <w:tc>
          <w:tcPr>
            <w:tcW w:type="dxa" w:w="1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Statut de la participation d'un investisseur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transaction_type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INVESTOR_DEPOSIT, INVESTOR_WITHDRAWAL, LOAN_DISBURSEMENT, LOAN_REPAYMENT, PLATFORM_COMMISSION, GUARANTEE_ACTIVATION, IMF_REPURCHASE, AGENT_COMMISSION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transactions</w:t>
            </w:r>
          </w:p>
        </w:tc>
        <w:tc>
          <w:tcPr>
            <w:tcW w:type="dxa" w:w="1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8 types — tout mouvement de fonds tracé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transaction_status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PENDING, CONFIRMED, RECONCILED, FAILED, PHANTOM_DETECTED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transactions</w:t>
            </w:r>
          </w:p>
        </w:tc>
        <w:tc>
          <w:tcPr>
            <w:tcW w:type="dxa" w:w="1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PHANTOM_DETECTED = anomalie MoMo à investiguer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momo_provider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MTN_MOMO, MOOV_FLOOZ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borrowers, transactions</w:t>
            </w:r>
          </w:p>
        </w:tc>
        <w:tc>
          <w:tcPr>
            <w:tcW w:type="dxa" w:w="1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Détermine FedaPay ou KKiaPay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risk_profile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CONSERVATIVE, BALANCED, DYNAMIC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investors</w:t>
            </w:r>
          </w:p>
        </w:tc>
        <w:tc>
          <w:tcPr>
            <w:tcW w:type="dxa" w:w="1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Profil Auto-Invest de l'investisseur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investor_type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RETAIL, INSTITUTIONAL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investors</w:t>
            </w:r>
          </w:p>
        </w:tc>
        <w:tc>
          <w:tcPr>
            <w:tcW w:type="dxa" w:w="1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RETAIL plafonné à 5M FCFA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tontine_status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PENDING, ACTIVE, COMPLETED, SUSPENDED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tontine_groups</w:t>
            </w:r>
          </w:p>
        </w:tc>
        <w:tc>
          <w:tcPr>
            <w:tcW w:type="dxa" w:w="1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PENDING = en attente 2 membres minimum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admin_role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SUPER_ADMIN, OPERATIONS, COMPLIANCE, SUPPORT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admins</w:t>
            </w:r>
          </w:p>
        </w:tc>
        <w:tc>
          <w:tcPr>
            <w:tcW w:type="dxa" w:w="1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SUPER_ADMIN seul peut modifier les rôles</w:t>
            </w:r>
          </w:p>
        </w:tc>
      </w:tr>
    </w:tbl>
    <w:p>
      <w:pPr>
        <w:spacing w:after="140" w:before="0"/>
      </w:pPr>
    </w:p>
    <w:p>
      <w:r>
        <w:br w:type="page"/>
      </w:r>
    </w:p>
    <w:p>
      <w:pPr>
        <w:pStyle w:val="Heading1"/>
        <w:shd w:fill="0D1F3C" w:val="clear"/>
        <w:spacing w:after="140" w:before="360"/>
      </w:pPr>
      <w:r>
        <w:rPr>
          <w:rFonts w:ascii="Calibri Light" w:cs="Calibri Light" w:eastAsia="Calibri Light" w:hAnsi="Calibri Light"/>
          <w:b/>
          <w:bCs/>
          <w:color w:val="FFFFFF"/>
          <w:sz w:val="28"/>
          <w:szCs w:val="28"/>
        </w:rPr>
        <w:t xml:space="preserve">  3. STRUCTURE DES TABLES</w:t>
      </w:r>
    </w:p>
    <w:p>
      <w:pPr>
        <w:spacing w:after="80" w:before="0"/>
      </w:pPr>
    </w:p>
    <w:p>
      <w:pPr>
        <w:pStyle w:val="Heading2"/>
        <w:pBdr>
          <w:left w:val="single" w:color="1A3A5C" w:sz="18" w:space="8"/>
        </w:pBdr>
        <w:spacing w:after="100" w:before="260"/>
        <w:ind w:left="18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3.1 Bloc Utilisateurs — Héritage par clé partagée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EBF3FC" w:sz="1"/>
              <w:left w:val="single" w:color="EBF3FC" w:sz="1"/>
              <w:bottom w:val="single" w:color="EBF3FC" w:sz="1"/>
              <w:right w:val="single" w:color="EBF3FC" w:sz="1"/>
            </w:tcBorders>
            <w:shd w:fill="1A3A5C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💡</w:t>
            </w:r>
          </w:p>
        </w:tc>
        <w:tc>
          <w:tcPr>
            <w:tcW w:type="dxa" w:w="8960"/>
            <w:tcBorders>
              <w:top w:val="single" w:color="EBF3FC" w:sz="1"/>
              <w:left w:val="single" w:color="EBF3FC" w:sz="1"/>
              <w:bottom w:val="single" w:color="EBF3FC" w:sz="1"/>
              <w:right w:val="single" w:color="EBF3FC" w:sz="1"/>
            </w:tcBorders>
            <w:shd w:fill="EBF3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25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19"/>
                <w:szCs w:val="19"/>
              </w:rPr>
              <w:t xml:space="preserve">Principe d'héritage SQL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B5563"/>
                <w:sz w:val="18"/>
                <w:szCs w:val="18"/>
              </w:rPr>
              <w:t xml:space="preserve">Chaque table fille (investors, borrowers...) partage le même UUID que users. Un investisseur existe dans users ET dans investors avec le même id. ON DELETE CASCADE : supprimer un user supprime automatiquement toutes ses données liées.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after="15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users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DDDDDD"/>
                <w:sz w:val="17"/>
                <w:szCs w:val="17"/>
              </w:rPr>
              <w:t xml:space="preserve">Table mère — tout acteur de la plateforme</w:t>
            </w:r>
          </w:p>
        </w:tc>
      </w:tr>
    </w:tbl>
    <w:p>
      <w:pPr>
        <w:spacing w:after="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200"/>
        <w:gridCol w:w="2560"/>
      </w:tblGrid>
      <w:tr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Colonne</w:t>
            </w:r>
          </w:p>
        </w:tc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 / Contrainte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Valeur par défaut</w:t>
            </w:r>
          </w:p>
        </w:tc>
        <w:tc>
          <w:tcPr>
            <w:tcW w:type="dxa" w:w="25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UUID PK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gen_random_uuid()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Identifiant unique universel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full_name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VARCHAR(150)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Nom complet (pièce d'identité)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phone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NOT NULL UNIQUE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Numéro MoMo — identifiant de connexion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UNIQUE, NULL ok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Obligatoire investisseurs, optionnel emprunteurs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user_status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DEFAULT 'PENDING'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Cycle de vie de l'utilisateur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kyc_status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kyc_status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DEFAULT 'NOT_STARTED'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Progression KYC en 3 sessions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kyc_document_url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VARCHAR(500)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NULL jusqu'à upload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URL sécurisée du document CNI/CIP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DEFAULT NOW()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Horodatage création — immuable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last_login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NULL autorisé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Mis à jour à chaque connexion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FA8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after="15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investors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DDDDDD"/>
                <w:sz w:val="17"/>
                <w:szCs w:val="17"/>
              </w:rPr>
              <w:t xml:space="preserve">Hérite de users — prêteurs de la plateforme</w:t>
            </w:r>
          </w:p>
        </w:tc>
      </w:tr>
    </w:tbl>
    <w:p>
      <w:pPr>
        <w:spacing w:after="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200"/>
        <w:gridCol w:w="2560"/>
      </w:tblGrid>
      <w:tr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Colonne</w:t>
            </w:r>
          </w:p>
        </w:tc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 / Contrainte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Valeur par défaut</w:t>
            </w:r>
          </w:p>
        </w:tc>
        <w:tc>
          <w:tcPr>
            <w:tcW w:type="dxa" w:w="25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UUID PK FK→users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ON DELETE CASCADE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Même UUID que users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wallet_balance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DECIMAL(15,2)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CHECK &gt;= 0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Solde disponible en FCFA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total_invested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DECIMAL(15,2)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DEFAULT 0.00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Cumul historique des mises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total_returns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DECIMAL(15,2)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DEFAULT 0.00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Cumul des intérêts perçus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risk_profile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risk_profile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DEFAULT 'BALANCED'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Profil Auto-Invest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investor_type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investor_type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DEFAULT 'RETAIL'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RETAIL ou INSTITUTIONAL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after="15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borrowers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DDDDDD"/>
                <w:sz w:val="17"/>
                <w:szCs w:val="17"/>
              </w:rPr>
              <w:t xml:space="preserve">Hérite de users — emprunteurs de la plateforme</w:t>
            </w:r>
          </w:p>
        </w:tc>
      </w:tr>
    </w:tbl>
    <w:p>
      <w:pPr>
        <w:spacing w:after="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200"/>
        <w:gridCol w:w="2560"/>
      </w:tblGrid>
      <w:tr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Colonne</w:t>
            </w:r>
          </w:p>
        </w:tc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 / Contrainte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Valeur par défaut</w:t>
            </w:r>
          </w:p>
        </w:tc>
        <w:tc>
          <w:tcPr>
            <w:tcW w:type="dxa" w:w="25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UUID PK FK→users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ON DELETE CASCADE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Même UUID que users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credit_score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DECIMAL(5,2)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CHECK 0-100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Score global hybride — seuil min 65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tontine_score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DECIMAL(5,2)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CHECK 0-100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Composante tontine du score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mobile_money_number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NOT NULL UNIQUE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Numéro MoMo pour décaissements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momo_provider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momo_provider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MTN_MOMO ou MOOV_FLOOZ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has_tontine_history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DEFAULT FALSE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true après 1er cycle tontine complet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default_count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CHECK &gt;= 0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Incidents de paiement — blocage si &gt; 2</w:t>
            </w:r>
          </w:p>
        </w:tc>
      </w:tr>
    </w:tbl>
    <w:p>
      <w:pPr>
        <w:spacing w:after="80" w:before="0"/>
      </w:pPr>
    </w:p>
    <w:p>
      <w:pPr>
        <w:spacing w:after="60" w:before="0"/>
      </w:pPr>
    </w:p>
    <w:p>
      <w:pPr>
        <w:pStyle w:val="Heading2"/>
        <w:pBdr>
          <w:left w:val="single" w:color="1A6B3C" w:sz="18" w:space="8"/>
        </w:pBdr>
        <w:spacing w:after="100" w:before="260"/>
        <w:ind w:left="180"/>
      </w:pPr>
      <w:r>
        <w:rPr>
          <w:rFonts w:ascii="Calibri" w:cs="Calibri" w:eastAsia="Calibri" w:hAnsi="Calibri"/>
          <w:b/>
          <w:bCs/>
          <w:color w:val="1A6B3C"/>
          <w:sz w:val="22"/>
          <w:szCs w:val="22"/>
        </w:rPr>
        <w:t xml:space="preserve">3.2 Bloc Financier — Tables centrales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FCE8D6" w:sz="1"/>
              <w:left w:val="single" w:color="FCE8D6" w:sz="1"/>
              <w:bottom w:val="single" w:color="FCE8D6" w:sz="1"/>
              <w:right w:val="single" w:color="FCE8D6" w:sz="1"/>
            </w:tcBorders>
            <w:shd w:fill="C55A1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🔒</w:t>
            </w:r>
          </w:p>
        </w:tc>
        <w:tc>
          <w:tcPr>
            <w:tcW w:type="dxa" w:w="8960"/>
            <w:tcBorders>
              <w:top w:val="single" w:color="FCE8D6" w:sz="1"/>
              <w:left w:val="single" w:color="FCE8D6" w:sz="1"/>
              <w:bottom w:val="single" w:color="FCE8D6" w:sz="1"/>
              <w:right w:val="single" w:color="FCE8D6" w:sz="1"/>
            </w:tcBorders>
            <w:shd w:fill="FCE8D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25" w:before="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19"/>
                <w:szCs w:val="19"/>
              </w:rPr>
              <w:t xml:space="preserve">Ségrégation des fonds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B5563"/>
                <w:sz w:val="18"/>
                <w:szCs w:val="18"/>
              </w:rPr>
              <w:t xml:space="preserve">escrow_wallet = fonds investisseurs protégés. platform_wallet = revenus opérationnels. Ces deux tables ne sont jamais liées directement — le seul flux autorisé va de escrow_wallet vers platform_wallet via une transaction PLATFORM_COMMISSION.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after="15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loans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DDDDDD"/>
                <w:sz w:val="17"/>
                <w:szCs w:val="17"/>
              </w:rPr>
              <w:t xml:space="preserve">★ Table centrale — relie emprunteurs, investisseurs, transactions et garantie</w:t>
            </w:r>
          </w:p>
        </w:tc>
      </w:tr>
    </w:tbl>
    <w:p>
      <w:pPr>
        <w:spacing w:after="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200"/>
        <w:gridCol w:w="2560"/>
      </w:tblGrid>
      <w:tr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Colonne</w:t>
            </w:r>
          </w:p>
        </w:tc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 / Contrainte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Valeur par défaut</w:t>
            </w:r>
          </w:p>
        </w:tc>
        <w:tc>
          <w:tcPr>
            <w:tcW w:type="dxa" w:w="25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UUID PK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gen_random_uuid()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Identifiant unique du prêt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borrower_id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UUID FK→borrowers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Emprunteur demandeur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amount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DECIMAL(15,2)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CHECK 25000-500000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Montant en FCFA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interest_rate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DECIMAL(5,4)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CHECK &lt;= 0.18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Taux annuel — plafond BCEAO 18%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duration_months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CHECK IN (3,6,9,12)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Durée en mois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loan_status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DEFAULT 'PENDING_IMF'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Cycle de vie du prêt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monthly_installment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DECIMAL(15,2)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Mensualité calculée à la création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outstanding_balance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DECIMAL(15,2)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Capital restant dû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days_overdue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DEFAULT 0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Jours de retard — déclenche alertes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validated_by_imf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DEFAULT FALSE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true requis avant disburse()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imf_validated_by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UUID FK→imf_staff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NULL autorisé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Agent IMF ayant validé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after="15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investments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DDDDDD"/>
                <w:sz w:val="17"/>
                <w:szCs w:val="17"/>
              </w:rPr>
              <w:t xml:space="preserve">Participation d'un investisseur à un prêt</w:t>
            </w:r>
          </w:p>
        </w:tc>
      </w:tr>
    </w:tbl>
    <w:p>
      <w:pPr>
        <w:spacing w:after="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200"/>
        <w:gridCol w:w="2560"/>
      </w:tblGrid>
      <w:tr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Colonne</w:t>
            </w:r>
          </w:p>
        </w:tc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 / Contrainte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Valeur par défaut</w:t>
            </w:r>
          </w:p>
        </w:tc>
        <w:tc>
          <w:tcPr>
            <w:tcW w:type="dxa" w:w="25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UUID PK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gen_random_uuid()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Identifiant unique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investor_id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UUID FK→investors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Investisseur participant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loan_id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UUID FK→loans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Prêt financé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amount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DECIMAL(15,2)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CHECK &gt;= 5000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Mise de fonds — min 5 000 FCFA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expected_return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DECIMAL(15,2)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Intérêts attendus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actual_return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DECIMAL(15,2)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DEFAULT 0.00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Intérêts effectivement perçus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is_guaranteed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DEFAULT TRUE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Couvert par le fonds de garantie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guarantee_tier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CHECK IN (1,2,3)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Niveau de garantie activé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maturity_date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Date de remboursement complet prévu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1D95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after="15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transactions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DDDDDD"/>
                <w:sz w:val="17"/>
                <w:szCs w:val="17"/>
              </w:rPr>
              <w:t xml:space="preserve">Tout mouvement de fonds — log immuable 5 ans</w:t>
            </w:r>
          </w:p>
        </w:tc>
      </w:tr>
    </w:tbl>
    <w:p>
      <w:pPr>
        <w:spacing w:after="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200"/>
        <w:gridCol w:w="2560"/>
      </w:tblGrid>
      <w:tr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Colonne</w:t>
            </w:r>
          </w:p>
        </w:tc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 / Contrainte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Valeur par défaut</w:t>
            </w:r>
          </w:p>
        </w:tc>
        <w:tc>
          <w:tcPr>
            <w:tcW w:type="dxa" w:w="25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UUID PK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gen_random_uuid()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Identifiant unique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transaction_type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Nature de l'opération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amount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DECIMAL(15,2)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CHECK &gt; 0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Montant en FCFA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transaction_status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DEFAULT 'PENDING'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État de la transaction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momo_reference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UNIQUE, NULL ok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Référence opérateur MoMo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is_reconciled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DEFAULT FALSE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true après vérification H+24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failure_reason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VARCHAR(300)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NULL si succès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Motif d'échec si FAILED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created_by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UUID FK→users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Utilisateur à l'origine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1D95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after="15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escrow_wallet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DDDDDD"/>
                <w:sz w:val="17"/>
                <w:szCs w:val="17"/>
              </w:rPr>
              <w:t xml:space="preserve">Fonds investisseurs — compte séquestre tiers</w:t>
            </w:r>
          </w:p>
        </w:tc>
      </w:tr>
    </w:tbl>
    <w:p>
      <w:pPr>
        <w:spacing w:after="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200"/>
        <w:gridCol w:w="2560"/>
      </w:tblGrid>
      <w:tr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Colonne</w:t>
            </w:r>
          </w:p>
        </w:tc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 / Contrainte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Valeur par défaut</w:t>
            </w:r>
          </w:p>
        </w:tc>
        <w:tc>
          <w:tcPr>
            <w:tcW w:type="dxa" w:w="25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total_balance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DECIMAL(15,2)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CHECK &gt;= 0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Solde total du séquestre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investor_funds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DECIMAL(15,2)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CHECK &gt;= 0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Capital pur des investisseurs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pending_disbursements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DECIMAL(15,2)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CHECK &gt;= 0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Fonds engagés non encore virés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locked_for_guarantee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DECIMAL(15,2)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5% bloqués pour fonds de garantie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platform_fees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DECIMAL(15,2)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Commissions en attente de transfert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third_party_manager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Identité du tiers séquestre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1D95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after="15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platform_wallet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DDDDDD"/>
                <w:sz w:val="17"/>
                <w:szCs w:val="17"/>
              </w:rPr>
              <w:t xml:space="preserve">Revenus opérationnels — strictement séparé de l'escrow</w:t>
            </w:r>
          </w:p>
        </w:tc>
      </w:tr>
    </w:tbl>
    <w:p>
      <w:pPr>
        <w:spacing w:after="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200"/>
        <w:gridCol w:w="2560"/>
      </w:tblGrid>
      <w:tr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Colonne</w:t>
            </w:r>
          </w:p>
        </w:tc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 / Contrainte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Valeur par défaut</w:t>
            </w:r>
          </w:p>
        </w:tc>
        <w:tc>
          <w:tcPr>
            <w:tcW w:type="dxa" w:w="25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commission_balance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DECIMAL(15,2)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CHECK &gt;= 0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Commissions reçues (2,5%/prêt)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operating_funds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DECIMAL(15,2)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CHECK &gt;= 0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Fonds opérationnels disponibles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last_withdrawal_date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NULL autorisé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Traçabilité des retraits</w:t>
            </w:r>
          </w:p>
        </w:tc>
      </w:tr>
    </w:tbl>
    <w:p>
      <w:pPr>
        <w:spacing w:after="80" w:before="0"/>
      </w:pPr>
    </w:p>
    <w:p>
      <w:pPr>
        <w:spacing w:after="60" w:before="0"/>
      </w:pPr>
    </w:p>
    <w:p>
      <w:pPr>
        <w:pStyle w:val="Heading2"/>
        <w:pBdr>
          <w:left w:val="single" w:color="C8922A" w:sz="18" w:space="8"/>
        </w:pBdr>
        <w:spacing w:after="100" w:before="260"/>
        <w:ind w:left="180"/>
      </w:pPr>
      <w:r>
        <w:rPr>
          <w:rFonts w:ascii="Calibri" w:cs="Calibri" w:eastAsia="Calibri" w:hAnsi="Calibri"/>
          <w:b/>
          <w:bCs/>
          <w:color w:val="C8922A"/>
          <w:sz w:val="22"/>
          <w:szCs w:val="22"/>
        </w:rPr>
        <w:t xml:space="preserve">3.3 Bloc Tontine Bridge + Risque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922A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after="15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tontine_groups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DDDDDD"/>
                <w:sz w:val="17"/>
                <w:szCs w:val="17"/>
              </w:rPr>
              <w:t xml:space="preserve">Groupe de tontine enregistré — innovation Tontine Bridge</w:t>
            </w:r>
          </w:p>
        </w:tc>
      </w:tr>
    </w:tbl>
    <w:p>
      <w:pPr>
        <w:spacing w:after="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200"/>
        <w:gridCol w:w="2560"/>
      </w:tblGrid>
      <w:tr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Colonne</w:t>
            </w:r>
          </w:p>
        </w:tc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 / Contrainte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Valeur par défaut</w:t>
            </w:r>
          </w:p>
        </w:tc>
        <w:tc>
          <w:tcPr>
            <w:tcW w:type="dxa" w:w="25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UUID PK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gen_random_uuid()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Identifiant unique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VARCHAR(150)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Nom donné par le chef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leader_user_id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UUID FK→borrowers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Chef de tontine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member_count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CHECK &gt;= 2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Minimum 2 membres pour activation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monthly_contribution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DECIMAL(15,2)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CHECK &gt; 0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Cotisation mensuelle fixe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completed_cycles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DEFAULT 0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3 cycles min pour Score Tontine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tontine_status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DEFAULT 'PENDING'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Cycle de vie du groupe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922A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after="15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tontine_cycles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DDDDDD"/>
                <w:sz w:val="17"/>
                <w:szCs w:val="17"/>
              </w:rPr>
              <w:t xml:space="preserve">Un cycle de cotisation mensuelle d'un groupe</w:t>
            </w:r>
          </w:p>
        </w:tc>
      </w:tr>
    </w:tbl>
    <w:p>
      <w:pPr>
        <w:spacing w:after="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200"/>
        <w:gridCol w:w="2560"/>
      </w:tblGrid>
      <w:tr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Colonne</w:t>
            </w:r>
          </w:p>
        </w:tc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 / Contrainte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Valeur par défaut</w:t>
            </w:r>
          </w:p>
        </w:tc>
        <w:tc>
          <w:tcPr>
            <w:tcW w:type="dxa" w:w="25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UUID PK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gen_random_uuid()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Identifiant unique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group_id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UUID FK→tontine_groups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ON DELETE CASCADE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Groupe parent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cycle_number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CHECK &gt; 0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Numéro séquentiel du cycle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is_complete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DEFAULT FALSE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true = tous paiements reçus et réconciliés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beneficiary_id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UUID FK→borrowers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Membre bénéficiaire ce cycle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members_paid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DEFAULT 0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Membres ayant payé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members_defaulted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DEFAULT 0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Membres en défaut — impact sur score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B1C1C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after="15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guarantee_fund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DDDDDD"/>
                <w:sz w:val="17"/>
                <w:szCs w:val="17"/>
              </w:rPr>
              <w:t xml:space="preserve">Fonds de garantie mutuel — Niveau 2 stratégie risque</w:t>
            </w:r>
          </w:p>
        </w:tc>
      </w:tr>
    </w:tbl>
    <w:p>
      <w:pPr>
        <w:spacing w:after="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200"/>
        <w:gridCol w:w="2560"/>
      </w:tblGrid>
      <w:tr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Colonne</w:t>
            </w:r>
          </w:p>
        </w:tc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 / Contrainte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Valeur par défaut</w:t>
            </w:r>
          </w:p>
        </w:tc>
        <w:tc>
          <w:tcPr>
            <w:tcW w:type="dxa" w:w="25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total_capital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DECIMAL(15,2)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CHECK &gt;= 0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Capital disponible dans le fonds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coverage_ratio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DECIMAL(5,4)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= total_capital / active_portfolio_value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min_threshold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DECIMAL(5,4)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DEFAULT 0.0300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Si &lt; 3% → suspension décaissements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target_threshold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DECIMAL(5,4)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DEFAULT 0.0500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Cible 5% — prélevé sur chaque prêt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suspension_active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DEFAULT FALSE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true = nouveaux décaissements bloqués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B1C1C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after="15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scoring_engine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DDDDDD"/>
                <w:sz w:val="17"/>
                <w:szCs w:val="17"/>
              </w:rPr>
              <w:t xml:space="preserve">Configuration du moteur de scoring hybride</w:t>
            </w:r>
          </w:p>
        </w:tc>
      </w:tr>
    </w:tbl>
    <w:p>
      <w:pPr>
        <w:spacing w:after="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200"/>
        <w:gridCol w:w="2560"/>
      </w:tblGrid>
      <w:tr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Colonne</w:t>
            </w:r>
          </w:p>
        </w:tc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 / Contrainte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Valeur par défaut</w:t>
            </w:r>
          </w:p>
        </w:tc>
        <w:tc>
          <w:tcPr>
            <w:tcW w:type="dxa" w:w="25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momo_weight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DECIMAL(3,2)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DEFAULT 0.40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Poids Mobile Money (40%)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tontine_weight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DECIMAL(3,2)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DEFAULT 0.35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Poids Score Tontine (35%)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imf_weight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DECIMAL(3,2)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DEFAULT 0.25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Poids historique IMF (25%)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6"/>
                <w:szCs w:val="16"/>
              </w:rPr>
              <w:t xml:space="preserve">warning_signal_days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C1D95"/>
                <w:sz w:val="16"/>
                <w:szCs w:val="16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DEFAULT 45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6"/>
                <w:szCs w:val="16"/>
              </w:rPr>
              <w:t xml:space="preserve">Fenêtre détection signaux faibles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pStyle w:val="Heading1"/>
        <w:shd w:fill="0D1F3C" w:val="clear"/>
        <w:spacing w:after="140" w:before="360"/>
      </w:pPr>
      <w:r>
        <w:rPr>
          <w:rFonts w:ascii="Calibri Light" w:cs="Calibri Light" w:eastAsia="Calibri Light" w:hAnsi="Calibri Light"/>
          <w:b/>
          <w:bCs/>
          <w:color w:val="FFFFFF"/>
          <w:sz w:val="28"/>
          <w:szCs w:val="28"/>
        </w:rPr>
        <w:t xml:space="preserve">  4. CHECK GLOBAL — ÉTAT DU PROJET</w:t>
      </w:r>
    </w:p>
    <w:p>
      <w:pPr>
        <w:spacing w:after="80" w:before="0"/>
      </w:pPr>
    </w:p>
    <w:p>
      <w:pPr>
        <w:spacing w:after="70" w:before="4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Bilan complet de tout ce qui a été accompli sur le projet Nexus P2P Lending jusqu'à présent.</w:t>
      </w:r>
    </w:p>
    <w:p>
      <w:pPr>
        <w:spacing w:after="80" w:before="0"/>
      </w:pPr>
    </w:p>
    <w:p>
      <w:pPr>
        <w:pStyle w:val="Heading2"/>
        <w:pBdr>
          <w:left w:val="single" w:color="1A3A5C" w:sz="18" w:space="8"/>
        </w:pBdr>
        <w:spacing w:after="100" w:before="260"/>
        <w:ind w:left="18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4.1 Documents de soutenance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2000"/>
        <w:gridCol w:w="3960"/>
      </w:tblGrid>
      <w:tr>
        <w:tc>
          <w:tcPr>
            <w:tcW w:type="dxa" w:w="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Document</w:t>
            </w:r>
          </w:p>
        </w:tc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Statut</w:t>
            </w:r>
          </w:p>
        </w:tc>
        <w:tc>
          <w:tcPr>
            <w:tcW w:type="dxa" w:w="39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Détail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4F5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8"/>
                <w:szCs w:val="18"/>
              </w:rPr>
              <w:t xml:space="preserve">Cahier des Charges (CDC)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4F5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7"/>
                <w:szCs w:val="17"/>
              </w:rPr>
              <w:t xml:space="preserve">✅ v2.0 Final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4B5563"/>
                <w:sz w:val="17"/>
                <w:szCs w:val="17"/>
              </w:rPr>
              <w:t xml:space="preserve">11 sections — OKR, AMDEC, parties prenantes, planning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4F5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8"/>
                <w:szCs w:val="18"/>
              </w:rPr>
              <w:t xml:space="preserve">User Flow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4F5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7"/>
                <w:szCs w:val="17"/>
              </w:rPr>
              <w:t xml:space="preserve">✅ v2.0 Final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4B5563"/>
                <w:sz w:val="17"/>
                <w:szCs w:val="17"/>
              </w:rPr>
              <w:t xml:space="preserve">8 modules dont 3 nouveaux (Institutionnel, Rachat IMF, BCEAO)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DE8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❌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8"/>
                <w:szCs w:val="18"/>
              </w:rPr>
              <w:t xml:space="preserve">Diagramme de Classes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D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B1C1C"/>
                <w:sz w:val="17"/>
                <w:szCs w:val="17"/>
              </w:rPr>
              <w:t xml:space="preserve">🔧 À faire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4B5563"/>
                <w:sz w:val="17"/>
                <w:szCs w:val="17"/>
              </w:rPr>
              <w:t xml:space="preserve">Code Mermaid v2 disponible — à dessiner manuellement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4F5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8"/>
                <w:szCs w:val="18"/>
              </w:rPr>
              <w:t xml:space="preserve">Dictionnaire de Données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4F5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7"/>
                <w:szCs w:val="17"/>
              </w:rPr>
              <w:t xml:space="preserve">✅ v1.0 Final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4B5563"/>
                <w:sz w:val="17"/>
                <w:szCs w:val="17"/>
              </w:rPr>
              <w:t xml:space="preserve">15 entités, 10 ENUMs, toutes règles métier documentées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4F5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8"/>
                <w:szCs w:val="18"/>
              </w:rPr>
              <w:t xml:space="preserve">Base de données SQL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4F5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7"/>
                <w:szCs w:val="17"/>
              </w:rPr>
              <w:t xml:space="preserve">✅ Créée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4B5563"/>
                <w:sz w:val="17"/>
                <w:szCs w:val="17"/>
              </w:rPr>
              <w:t xml:space="preserve">20 tables, 11 ENUMs dans nexus_db / nexus_user</w:t>
            </w:r>
          </w:p>
        </w:tc>
      </w:tr>
    </w:tbl>
    <w:p>
      <w:pPr>
        <w:spacing w:after="80" w:before="0"/>
      </w:pPr>
    </w:p>
    <w:p>
      <w:pPr>
        <w:pStyle w:val="Heading2"/>
        <w:pBdr>
          <w:left w:val="single" w:color="1A6B3C" w:sz="18" w:space="8"/>
        </w:pBdr>
        <w:spacing w:after="100" w:before="260"/>
        <w:ind w:left="180"/>
      </w:pPr>
      <w:r>
        <w:rPr>
          <w:rFonts w:ascii="Calibri" w:cs="Calibri" w:eastAsia="Calibri" w:hAnsi="Calibri"/>
          <w:b/>
          <w:bCs/>
          <w:color w:val="1A6B3C"/>
          <w:sz w:val="22"/>
          <w:szCs w:val="22"/>
        </w:rPr>
        <w:t xml:space="preserve">4.2 Base de données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2000"/>
        <w:gridCol w:w="3960"/>
      </w:tblGrid>
      <w:tr>
        <w:tc>
          <w:tcPr>
            <w:tcW w:type="dxa" w:w="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Élément</w:t>
            </w:r>
          </w:p>
        </w:tc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Statut</w:t>
            </w:r>
          </w:p>
        </w:tc>
        <w:tc>
          <w:tcPr>
            <w:tcW w:type="dxa" w:w="39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Détail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4F5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8"/>
                <w:szCs w:val="18"/>
              </w:rPr>
              <w:t xml:space="preserve">Utilisateur dédié nexus_user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4F5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7"/>
                <w:szCs w:val="17"/>
              </w:rPr>
              <w:t xml:space="preserve">✅ Créé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4B5563"/>
                <w:sz w:val="17"/>
                <w:szCs w:val="17"/>
              </w:rPr>
              <w:t xml:space="preserve">Bonne pratique — non superutilisateur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4F5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8"/>
                <w:szCs w:val="18"/>
              </w:rPr>
              <w:t xml:space="preserve">Base nexus_db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4F5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7"/>
                <w:szCs w:val="17"/>
              </w:rPr>
              <w:t xml:space="preserve">✅ Créée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4B5563"/>
                <w:sz w:val="17"/>
                <w:szCs w:val="17"/>
              </w:rPr>
              <w:t xml:space="preserve">Encodage UTF8 / fr_FR.UTF-8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4F5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8"/>
                <w:szCs w:val="18"/>
              </w:rPr>
              <w:t xml:space="preserve">Authentification pg_hba.conf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4F5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7"/>
                <w:szCs w:val="17"/>
              </w:rPr>
              <w:t xml:space="preserve">✅ Configurée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4B5563"/>
                <w:sz w:val="17"/>
                <w:szCs w:val="17"/>
              </w:rPr>
              <w:t xml:space="preserve">md5 pour tous sauf postgres (peer)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4F5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8"/>
                <w:szCs w:val="18"/>
              </w:rPr>
              <w:t xml:space="preserve">11 ENUMs créés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4F5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7"/>
                <w:szCs w:val="17"/>
              </w:rPr>
              <w:t xml:space="preserve">✅ Complets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4B5563"/>
                <w:sz w:val="17"/>
                <w:szCs w:val="17"/>
              </w:rPr>
              <w:t xml:space="preserve">user_status, kyc_status, loan_status, transaction_type...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4F5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8"/>
                <w:szCs w:val="18"/>
              </w:rPr>
              <w:t xml:space="preserve">Bloc 1 — Tables utilisateurs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4F5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7"/>
                <w:szCs w:val="17"/>
              </w:rPr>
              <w:t xml:space="preserve">✅ 7 tables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4B5563"/>
                <w:sz w:val="17"/>
                <w:szCs w:val="17"/>
              </w:rPr>
              <w:t xml:space="preserve">users, investors, retail_investors, institutional_investors, borrowers, admins, agents, imf_staff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4F5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8"/>
                <w:szCs w:val="18"/>
              </w:rPr>
              <w:t xml:space="preserve">Bloc 2 — Tables financières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4F5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7"/>
                <w:szCs w:val="17"/>
              </w:rPr>
              <w:t xml:space="preserve">✅ 5 tables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4B5563"/>
                <w:sz w:val="17"/>
                <w:szCs w:val="17"/>
              </w:rPr>
              <w:t xml:space="preserve">loans, investments, transactions, escrow_wallet, platform_wallet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4F5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8"/>
                <w:szCs w:val="18"/>
              </w:rPr>
              <w:t xml:space="preserve">Bloc 3 — Tontine + Risque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4F5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7"/>
                <w:szCs w:val="17"/>
              </w:rPr>
              <w:t xml:space="preserve">✅ 8 tables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4B5563"/>
                <w:sz w:val="17"/>
                <w:szCs w:val="17"/>
              </w:rPr>
              <w:t xml:space="preserve">tontine_groups, tontine_members, tontine_cycles, guarantee_fund, guarantee_fund_investments, scoring_engine, borrower_scores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DE8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❌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8"/>
                <w:szCs w:val="18"/>
              </w:rPr>
              <w:t xml:space="preserve">Données de test (seed)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D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B1C1C"/>
                <w:sz w:val="17"/>
                <w:szCs w:val="17"/>
              </w:rPr>
              <w:t xml:space="preserve">❌ À faire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4B5563"/>
                <w:sz w:val="17"/>
                <w:szCs w:val="17"/>
              </w:rPr>
              <w:t xml:space="preserve">Insérer des données de test pour la démo soutenance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DE8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❌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8"/>
                <w:szCs w:val="18"/>
              </w:rPr>
              <w:t xml:space="preserve">Index de performance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D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B1C1C"/>
                <w:sz w:val="17"/>
                <w:szCs w:val="17"/>
              </w:rPr>
              <w:t xml:space="preserve">❌ À faire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4B5563"/>
                <w:sz w:val="17"/>
                <w:szCs w:val="17"/>
              </w:rPr>
              <w:t xml:space="preserve">Ajouter index sur borrower_id, loan_id, status</w:t>
            </w:r>
          </w:p>
        </w:tc>
      </w:tr>
    </w:tbl>
    <w:p>
      <w:pPr>
        <w:spacing w:after="80" w:before="0"/>
      </w:pPr>
    </w:p>
    <w:p>
      <w:pPr>
        <w:pStyle w:val="Heading2"/>
        <w:pBdr>
          <w:left w:val="single" w:color="C55A11" w:sz="18" w:space="8"/>
        </w:pBdr>
        <w:spacing w:after="100" w:before="260"/>
        <w:ind w:left="180"/>
      </w:pPr>
      <w:r>
        <w:rPr>
          <w:rFonts w:ascii="Calibri" w:cs="Calibri" w:eastAsia="Calibri" w:hAnsi="Calibri"/>
          <w:b/>
          <w:bCs/>
          <w:color w:val="C55A11"/>
          <w:sz w:val="22"/>
          <w:szCs w:val="22"/>
        </w:rPr>
        <w:t xml:space="preserve">4.3 Prochaines étapes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FCE8D6" w:sz="1"/>
              <w:left w:val="single" w:color="FCE8D6" w:sz="1"/>
              <w:bottom w:val="single" w:color="FCE8D6" w:sz="1"/>
              <w:right w:val="single" w:color="FCE8D6" w:sz="1"/>
            </w:tcBorders>
            <w:shd w:fill="C55A1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🗺️</w:t>
            </w:r>
          </w:p>
        </w:tc>
        <w:tc>
          <w:tcPr>
            <w:tcW w:type="dxa" w:w="8960"/>
            <w:tcBorders>
              <w:top w:val="single" w:color="FCE8D6" w:sz="1"/>
              <w:left w:val="single" w:color="FCE8D6" w:sz="1"/>
              <w:bottom w:val="single" w:color="FCE8D6" w:sz="1"/>
              <w:right w:val="single" w:color="FCE8D6" w:sz="1"/>
            </w:tcBorders>
            <w:shd w:fill="FCE8D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25" w:before="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19"/>
                <w:szCs w:val="19"/>
              </w:rPr>
              <w:t xml:space="preserve">Roadmap recommandée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B5563"/>
                <w:sz w:val="18"/>
                <w:szCs w:val="18"/>
              </w:rPr>
              <w:t xml:space="preserve">Voici les prochaines étapes dans l'ordre logique pour avancer sur le projet Nexus.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Priorité</w:t>
            </w:r>
          </w:p>
        </w:tc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Étape</w:t>
            </w:r>
          </w:p>
        </w:tc>
        <w:tc>
          <w:tcPr>
            <w:tcW w:type="dxa" w:w="57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8"/>
                <w:szCs w:val="18"/>
              </w:rPr>
              <w:t xml:space="preserve">Diagramme de classes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Dessiner manuellement le diagramme en utilisant le Dictionnaire de Données comme référence. Utiliser mermaid.live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8"/>
                <w:szCs w:val="18"/>
              </w:rPr>
              <w:t xml:space="preserve">Données de test (seed)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Insérer des données fictives dans la BD pour la démo soutenance — emprunteurs, prêts, tontines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8"/>
                <w:szCs w:val="18"/>
              </w:rPr>
              <w:t xml:space="preserve">Index de performance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Ajouter des index sur les colonnes fréquemment recherchées : borrower_id, loan_id, status, phone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8"/>
                <w:szCs w:val="18"/>
              </w:rPr>
              <w:t xml:space="preserve">Initialiser NestJS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Créer le projet backend avec NestJS + Prisma connecté à nexus_db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8"/>
                <w:szCs w:val="18"/>
              </w:rPr>
              <w:t xml:space="preserve">API REST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Implémenter les endpoints : /users, /loans, /investments, /tontine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18"/>
                <w:szCs w:val="18"/>
              </w:rPr>
              <w:t xml:space="preserve">Interface React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Développer les pages : Landing, Dashboard Investisseur, Formulaire Emprunteur, Admin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FAFD8"/>
                <w:sz w:val="17"/>
                <w:szCs w:val="17"/>
              </w:rPr>
              <w:t xml:space="preserve">Nexus — Documentation Base de Données v1.0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5A8AB8"/>
                <w:sz w:val="15"/>
                <w:szCs w:val="15"/>
              </w:rPr>
              <w:t xml:space="preserve">Projet P2P Lending Bénin — À conserver comme référence technique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0" w:sz="4" w:space="1"/>
      </w:pBdr>
      <w:tabs>
        <w:tab w:val="right" w:pos="8640"/>
      </w:tabs>
      <w:spacing w:after="0" w:before="0"/>
    </w:pPr>
    <w:r>
      <w:rPr>
        <w:rFonts w:ascii="Calibri" w:cs="Calibri" w:eastAsia="Calibri" w:hAnsi="Calibri"/>
        <w:color w:val="4B5563"/>
        <w:sz w:val="16"/>
        <w:szCs w:val="16"/>
      </w:rPr>
      <w:t xml:space="preserve">Référence interne — Projet Nexus P2P Lending Bénin 2025</w:t>
    </w:r>
    <w:r>
      <w:rPr>
        <w:sz w:val="16"/>
        <w:szCs w:val="16"/>
      </w:rPr>
      <w:t xml:space="preserve">	</w:t>
    </w:r>
    <w:r>
      <w:rPr>
        <w:rFonts w:ascii="Calibri" w:cs="Calibri" w:eastAsia="Calibri" w:hAnsi="Calibri"/>
        <w:b/>
        <w:bCs/>
        <w:color w:val="1A3A5C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8640"/>
      </w:tabs>
      <w:spacing w:after="0" w:before="0"/>
    </w:pPr>
    <w:r>
      <w:rPr>
        <w:rFonts w:ascii="Calibri" w:cs="Calibri" w:eastAsia="Calibri" w:hAnsi="Calibri"/>
        <w:i/>
        <w:iCs/>
        <w:color w:val="4B5563"/>
        <w:sz w:val="16"/>
        <w:szCs w:val="16"/>
      </w:rPr>
      <w:t xml:space="preserve">Nexus — Documentation Base de Données v1.0</w:t>
    </w:r>
    <w:r>
      <w:rPr>
        <w:sz w:val="16"/>
        <w:szCs w:val="16"/>
      </w:rPr>
      <w:t xml:space="preserve">	</w:t>
    </w:r>
    <w:r>
      <w:rPr>
        <w:rFonts w:ascii="Calibri" w:cs="Calibri" w:eastAsia="Calibri" w:hAnsi="Calibri"/>
        <w:b/>
        <w:bCs/>
        <w:color w:val="2E75B6"/>
        <w:sz w:val="16"/>
        <w:szCs w:val="16"/>
      </w:rPr>
      <w:t xml:space="preserve">nexus_db | nexus_user | PostgreSQL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Calibri Light" w:cs="Calibri Light" w:eastAsia="Calibri Light" w:hAnsi="Calibri Light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Calibri" w:cs="Calibri" w:eastAsia="Calibri" w:hAnsi="Calibri"/>
      <w:b/>
      <w:bCs/>
      <w:color w:val="1A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2026-04-13T19:50:41.490Z</dcterms:created>
  <dcterms:modified xsi:type="dcterms:W3CDTF">2026-04-13T19:50:41.492Z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