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422BDE" w14:textId="2528157F" w:rsidR="00605A42" w:rsidRPr="00BF119A" w:rsidRDefault="00A07E32" w:rsidP="00A07E32">
      <w:pPr>
        <w:pStyle w:val="Default"/>
        <w:spacing w:after="160" w:line="221" w:lineRule="atLeast"/>
        <w:jc w:val="center"/>
        <w:rPr>
          <w:rStyle w:val="A0"/>
          <w:rFonts w:asciiTheme="minorHAnsi" w:hAnsiTheme="minorHAnsi" w:cstheme="minorHAnsi"/>
          <w:sz w:val="28"/>
          <w:szCs w:val="28"/>
        </w:rPr>
      </w:pPr>
      <w:r w:rsidRPr="00BF119A">
        <w:rPr>
          <w:rFonts w:asciiTheme="minorHAnsi" w:hAnsiTheme="minorHAnsi" w:cstheme="minorHAnsi"/>
          <w:sz w:val="28"/>
          <w:szCs w:val="28"/>
        </w:rPr>
        <w:t>Présentation de</w:t>
      </w:r>
      <w:r w:rsidR="00F43916" w:rsidRPr="00BF119A">
        <w:rPr>
          <w:rFonts w:asciiTheme="minorHAnsi" w:hAnsiTheme="minorHAnsi" w:cstheme="minorHAnsi"/>
          <w:sz w:val="28"/>
          <w:szCs w:val="28"/>
        </w:rPr>
        <w:t>s</w:t>
      </w:r>
      <w:r w:rsidRPr="00BF119A">
        <w:rPr>
          <w:rFonts w:asciiTheme="minorHAnsi" w:hAnsiTheme="minorHAnsi" w:cstheme="minorHAnsi"/>
          <w:sz w:val="28"/>
          <w:szCs w:val="28"/>
        </w:rPr>
        <w:t xml:space="preserve"> </w:t>
      </w:r>
      <w:r w:rsidR="00104809">
        <w:rPr>
          <w:rFonts w:asciiTheme="minorHAnsi" w:hAnsiTheme="minorHAnsi" w:cstheme="minorHAnsi"/>
          <w:b/>
          <w:sz w:val="28"/>
          <w:szCs w:val="28"/>
        </w:rPr>
        <w:t xml:space="preserve">bases communale, </w:t>
      </w:r>
      <w:r w:rsidR="00EC63F3" w:rsidRPr="00EC63F3">
        <w:rPr>
          <w:rFonts w:asciiTheme="minorHAnsi" w:hAnsiTheme="minorHAnsi" w:cstheme="minorHAnsi"/>
          <w:b/>
          <w:sz w:val="28"/>
          <w:szCs w:val="28"/>
        </w:rPr>
        <w:t>départementale</w:t>
      </w:r>
      <w:r w:rsidR="00104809">
        <w:rPr>
          <w:rFonts w:asciiTheme="minorHAnsi" w:hAnsiTheme="minorHAnsi" w:cstheme="minorHAnsi"/>
          <w:b/>
          <w:sz w:val="28"/>
          <w:szCs w:val="28"/>
        </w:rPr>
        <w:t xml:space="preserve"> et régionale</w:t>
      </w:r>
      <w:r w:rsidR="00EC63F3" w:rsidRPr="00EC63F3">
        <w:rPr>
          <w:rFonts w:asciiTheme="minorHAnsi" w:hAnsiTheme="minorHAnsi" w:cstheme="minorHAnsi"/>
          <w:b/>
          <w:sz w:val="28"/>
          <w:szCs w:val="28"/>
        </w:rPr>
        <w:t xml:space="preserve"> des </w:t>
      </w:r>
      <w:r w:rsidR="00A32AB1">
        <w:rPr>
          <w:rFonts w:asciiTheme="minorHAnsi" w:hAnsiTheme="minorHAnsi" w:cstheme="minorHAnsi"/>
          <w:b/>
          <w:sz w:val="28"/>
          <w:szCs w:val="28"/>
        </w:rPr>
        <w:t>principaux</w:t>
      </w:r>
      <w:r w:rsidR="00EC63F3" w:rsidRPr="00EC63F3">
        <w:rPr>
          <w:rFonts w:asciiTheme="minorHAnsi" w:hAnsiTheme="minorHAnsi" w:cstheme="minorHAnsi"/>
          <w:b/>
          <w:sz w:val="28"/>
          <w:szCs w:val="28"/>
        </w:rPr>
        <w:t xml:space="preserve"> </w:t>
      </w:r>
      <w:r w:rsidR="00A32AB1">
        <w:rPr>
          <w:rFonts w:asciiTheme="minorHAnsi" w:hAnsiTheme="minorHAnsi" w:cstheme="minorHAnsi"/>
          <w:b/>
          <w:sz w:val="28"/>
          <w:szCs w:val="28"/>
        </w:rPr>
        <w:t xml:space="preserve">indicateurs des </w:t>
      </w:r>
      <w:r w:rsidR="00EC63F3" w:rsidRPr="00EC63F3">
        <w:rPr>
          <w:rFonts w:asciiTheme="minorHAnsi" w:hAnsiTheme="minorHAnsi" w:cstheme="minorHAnsi"/>
          <w:b/>
          <w:sz w:val="28"/>
          <w:szCs w:val="28"/>
        </w:rPr>
        <w:t>crimes</w:t>
      </w:r>
      <w:r w:rsidR="00947E5F">
        <w:rPr>
          <w:rFonts w:asciiTheme="minorHAnsi" w:hAnsiTheme="minorHAnsi" w:cstheme="minorHAnsi"/>
          <w:b/>
          <w:sz w:val="28"/>
          <w:szCs w:val="28"/>
        </w:rPr>
        <w:t xml:space="preserve"> et</w:t>
      </w:r>
      <w:r w:rsidR="00EC63F3" w:rsidRPr="00EC63F3">
        <w:rPr>
          <w:rFonts w:asciiTheme="minorHAnsi" w:hAnsiTheme="minorHAnsi" w:cstheme="minorHAnsi"/>
          <w:b/>
          <w:sz w:val="28"/>
          <w:szCs w:val="28"/>
        </w:rPr>
        <w:t xml:space="preserve"> délits enregistrés par la police et la gendarmerie nationales</w:t>
      </w:r>
    </w:p>
    <w:p w14:paraId="7B99C50D" w14:textId="6E797986" w:rsidR="00A07E32" w:rsidRPr="00F43916" w:rsidRDefault="00A07E32" w:rsidP="00A07E32">
      <w:pPr>
        <w:pStyle w:val="Default"/>
        <w:spacing w:after="160" w:line="221" w:lineRule="atLeast"/>
        <w:jc w:val="center"/>
        <w:rPr>
          <w:rFonts w:asciiTheme="minorHAnsi" w:hAnsiTheme="minorHAnsi" w:cstheme="minorHAnsi"/>
          <w:sz w:val="20"/>
          <w:szCs w:val="20"/>
        </w:rPr>
      </w:pPr>
      <w:r w:rsidRPr="00F43916">
        <w:rPr>
          <w:rStyle w:val="A0"/>
          <w:rFonts w:asciiTheme="minorHAnsi" w:hAnsiTheme="minorHAnsi" w:cstheme="minorHAnsi"/>
        </w:rPr>
        <w:t xml:space="preserve">Dernière mise à jour : </w:t>
      </w:r>
      <w:r w:rsidR="00F5043D">
        <w:rPr>
          <w:rStyle w:val="A0"/>
          <w:rFonts w:asciiTheme="minorHAnsi" w:hAnsiTheme="minorHAnsi" w:cstheme="minorHAnsi"/>
        </w:rPr>
        <w:t>Janvier 2025</w:t>
      </w:r>
    </w:p>
    <w:p w14:paraId="55298905" w14:textId="77777777" w:rsidR="001539C5" w:rsidRPr="00F43916" w:rsidRDefault="001539C5" w:rsidP="00605A42">
      <w:pPr>
        <w:pStyle w:val="Pa1"/>
        <w:spacing w:after="40"/>
        <w:ind w:firstLine="280"/>
        <w:jc w:val="both"/>
        <w:rPr>
          <w:rFonts w:asciiTheme="minorHAnsi" w:hAnsiTheme="minorHAnsi" w:cstheme="minorHAnsi"/>
          <w:color w:val="000000"/>
          <w:sz w:val="20"/>
          <w:szCs w:val="20"/>
        </w:rPr>
      </w:pPr>
    </w:p>
    <w:p w14:paraId="74226C5C" w14:textId="77777777" w:rsidR="000A393B" w:rsidRDefault="000A393B" w:rsidP="00057435">
      <w:pPr>
        <w:pStyle w:val="NormalWeb"/>
        <w:spacing w:before="0" w:beforeAutospacing="0" w:after="0" w:afterAutospacing="0"/>
        <w:rPr>
          <w:rStyle w:val="fontstyle01"/>
        </w:rPr>
      </w:pPr>
    </w:p>
    <w:p w14:paraId="6AFB9BB7" w14:textId="67AD4975" w:rsidR="00947E5F" w:rsidRDefault="00947E5F" w:rsidP="00D13DF8">
      <w:pPr>
        <w:pStyle w:val="NormalWeb"/>
        <w:spacing w:before="0" w:beforeAutospacing="0" w:after="0" w:afterAutospacing="0"/>
        <w:jc w:val="both"/>
        <w:rPr>
          <w:rFonts w:asciiTheme="minorHAnsi" w:eastAsiaTheme="minorHAnsi" w:hAnsiTheme="minorHAnsi" w:cstheme="minorBidi"/>
          <w:lang w:eastAsia="en-US"/>
        </w:rPr>
      </w:pPr>
      <w:r w:rsidRPr="000A393B">
        <w:rPr>
          <w:rFonts w:asciiTheme="minorHAnsi" w:eastAsiaTheme="minorHAnsi" w:hAnsiTheme="minorHAnsi" w:cstheme="minorBidi"/>
          <w:lang w:eastAsia="en-US"/>
        </w:rPr>
        <w:t xml:space="preserve">Depuis sa création fin 2014, le SSMSI constitue et exploite des bases de données statistiques </w:t>
      </w:r>
      <w:r w:rsidR="00CE6C34">
        <w:rPr>
          <w:rFonts w:asciiTheme="minorHAnsi" w:eastAsiaTheme="minorHAnsi" w:hAnsiTheme="minorHAnsi" w:cstheme="minorBidi"/>
          <w:lang w:eastAsia="en-US"/>
        </w:rPr>
        <w:t>élaborées à partir</w:t>
      </w:r>
      <w:r w:rsidRPr="000A393B">
        <w:rPr>
          <w:rFonts w:asciiTheme="minorHAnsi" w:eastAsiaTheme="minorHAnsi" w:hAnsiTheme="minorHAnsi" w:cstheme="minorBidi"/>
          <w:lang w:eastAsia="en-US"/>
        </w:rPr>
        <w:t xml:space="preserve"> des </w:t>
      </w:r>
      <w:r w:rsidR="00CE6C34">
        <w:rPr>
          <w:rFonts w:asciiTheme="minorHAnsi" w:eastAsiaTheme="minorHAnsi" w:hAnsiTheme="minorHAnsi" w:cstheme="minorBidi"/>
          <w:lang w:eastAsia="en-US"/>
        </w:rPr>
        <w:t>sources</w:t>
      </w:r>
      <w:r w:rsidRPr="000A393B">
        <w:rPr>
          <w:rFonts w:asciiTheme="minorHAnsi" w:eastAsiaTheme="minorHAnsi" w:hAnsiTheme="minorHAnsi" w:cstheme="minorBidi"/>
          <w:lang w:eastAsia="en-US"/>
        </w:rPr>
        <w:t xml:space="preserve"> administratives correspondant aux enregistrements par les services de </w:t>
      </w:r>
      <w:r>
        <w:rPr>
          <w:rFonts w:asciiTheme="minorHAnsi" w:eastAsiaTheme="minorHAnsi" w:hAnsiTheme="minorHAnsi" w:cstheme="minorBidi"/>
          <w:lang w:eastAsia="en-US"/>
        </w:rPr>
        <w:t>p</w:t>
      </w:r>
      <w:r w:rsidRPr="000A393B">
        <w:rPr>
          <w:rFonts w:asciiTheme="minorHAnsi" w:eastAsiaTheme="minorHAnsi" w:hAnsiTheme="minorHAnsi" w:cstheme="minorBidi"/>
          <w:lang w:eastAsia="en-US"/>
        </w:rPr>
        <w:t>olice et unités de gendarmerie des procédures relatives à des infractions pénales, avant leur transmission à l’a</w:t>
      </w:r>
      <w:r w:rsidR="00CE6C34">
        <w:rPr>
          <w:rFonts w:asciiTheme="minorHAnsi" w:eastAsiaTheme="minorHAnsi" w:hAnsiTheme="minorHAnsi" w:cstheme="minorBidi"/>
          <w:lang w:eastAsia="en-US"/>
        </w:rPr>
        <w:t>utorité</w:t>
      </w:r>
      <w:r w:rsidRPr="000A393B">
        <w:rPr>
          <w:rFonts w:asciiTheme="minorHAnsi" w:eastAsiaTheme="minorHAnsi" w:hAnsiTheme="minorHAnsi" w:cstheme="minorBidi"/>
          <w:lang w:eastAsia="en-US"/>
        </w:rPr>
        <w:t xml:space="preserve"> judiciaire (</w:t>
      </w:r>
      <w:r>
        <w:rPr>
          <w:rFonts w:asciiTheme="minorHAnsi" w:eastAsiaTheme="minorHAnsi" w:hAnsiTheme="minorHAnsi" w:cstheme="minorBidi"/>
          <w:lang w:eastAsia="en-US"/>
        </w:rPr>
        <w:t>cf.</w:t>
      </w:r>
      <w:r w:rsidRPr="004209F6">
        <w:rPr>
          <w:rFonts w:asciiTheme="minorHAnsi" w:eastAsiaTheme="minorHAnsi" w:hAnsiTheme="minorHAnsi" w:cstheme="minorBidi"/>
          <w:lang w:eastAsia="en-US"/>
        </w:rPr>
        <w:t xml:space="preserve"> </w:t>
      </w:r>
      <w:r>
        <w:rPr>
          <w:rFonts w:asciiTheme="minorHAnsi" w:eastAsiaTheme="minorHAnsi" w:hAnsiTheme="minorHAnsi" w:cstheme="minorBidi"/>
          <w:lang w:eastAsia="en-US"/>
        </w:rPr>
        <w:t xml:space="preserve">Interstats Méthode 2 </w:t>
      </w:r>
      <w:hyperlink r:id="rId8" w:history="1">
        <w:r w:rsidRPr="00CD5243">
          <w:rPr>
            <w:rStyle w:val="Lienhypertexte"/>
            <w:rFonts w:asciiTheme="minorHAnsi" w:eastAsiaTheme="minorHAnsi" w:hAnsiTheme="minorHAnsi" w:cstheme="minorBidi"/>
            <w:lang w:eastAsia="en-US"/>
          </w:rPr>
          <w:t>https://www.interieur.gouv.fr/Interstats/Methode</w:t>
        </w:r>
      </w:hyperlink>
      <w:r w:rsidRPr="000A393B">
        <w:rPr>
          <w:rFonts w:asciiTheme="minorHAnsi" w:eastAsiaTheme="minorHAnsi" w:hAnsiTheme="minorHAnsi" w:cstheme="minorBidi"/>
          <w:lang w:eastAsia="en-US"/>
        </w:rPr>
        <w:t xml:space="preserve">). </w:t>
      </w:r>
    </w:p>
    <w:p w14:paraId="51919CA9" w14:textId="77777777" w:rsidR="00947E5F" w:rsidRDefault="00947E5F" w:rsidP="00D13DF8">
      <w:pPr>
        <w:pStyle w:val="NormalWeb"/>
        <w:spacing w:before="0" w:beforeAutospacing="0" w:after="0" w:afterAutospacing="0"/>
        <w:jc w:val="both"/>
        <w:rPr>
          <w:rFonts w:asciiTheme="minorHAnsi" w:eastAsiaTheme="minorHAnsi" w:hAnsiTheme="minorHAnsi" w:cstheme="minorBidi"/>
          <w:lang w:eastAsia="en-US"/>
        </w:rPr>
      </w:pPr>
    </w:p>
    <w:p w14:paraId="58EDCFCD" w14:textId="77777777" w:rsidR="00125DF8" w:rsidRDefault="00125DF8" w:rsidP="00D13DF8">
      <w:pPr>
        <w:pStyle w:val="NormalWeb"/>
        <w:spacing w:before="0" w:beforeAutospacing="0" w:after="0" w:afterAutospacing="0"/>
        <w:jc w:val="both"/>
        <w:rPr>
          <w:rFonts w:asciiTheme="minorHAnsi" w:eastAsiaTheme="minorHAnsi" w:hAnsiTheme="minorHAnsi" w:cstheme="minorBidi"/>
          <w:lang w:eastAsia="en-US"/>
        </w:rPr>
      </w:pPr>
      <w:r w:rsidRPr="007F3892">
        <w:rPr>
          <w:rFonts w:asciiTheme="minorHAnsi" w:eastAsiaTheme="minorHAnsi" w:hAnsiTheme="minorHAnsi" w:cstheme="minorBidi"/>
          <w:lang w:eastAsia="en-US"/>
        </w:rPr>
        <w:t>Dans le cadre de leur activité judiciaire, les forces de sécurité (services de police et unités de gendarmerie) sont amenées à rédiger des procédures relatives à des infractions, avant de les transmettre à l’autorité judiciaire qui est susceptible de les requalifier par la suite. Ces infractions ont pu être constatées suite à une plainte déposée par une victime, à un signalement, un témoignage, un flagrant délit, une dénonciation, etc., mais aussi sur l’initiative des forces de sécurité.</w:t>
      </w:r>
    </w:p>
    <w:p w14:paraId="5A33EFDC" w14:textId="1D941711" w:rsidR="00947E5F" w:rsidRDefault="00947E5F" w:rsidP="00D13DF8">
      <w:pPr>
        <w:pStyle w:val="NormalWeb"/>
        <w:spacing w:before="0" w:beforeAutospacing="0" w:after="0" w:afterAutospacing="0"/>
        <w:jc w:val="both"/>
        <w:rPr>
          <w:rFonts w:asciiTheme="minorHAnsi" w:eastAsiaTheme="minorHAnsi" w:hAnsiTheme="minorHAnsi" w:cstheme="minorBidi"/>
          <w:lang w:eastAsia="en-US"/>
        </w:rPr>
      </w:pPr>
      <w:r w:rsidRPr="000A393B">
        <w:rPr>
          <w:rFonts w:asciiTheme="minorHAnsi" w:eastAsiaTheme="minorHAnsi" w:hAnsiTheme="minorHAnsi" w:cstheme="minorBidi"/>
          <w:lang w:eastAsia="en-US"/>
        </w:rPr>
        <w:t>La comptabilisation des infractions enregistrées peut fournir une indication du volume réel des infractions commises, et donc de l’insécurité qui en découle, dans les domaines où la part des délits qui arrivent à la connaissance des services est élevée.</w:t>
      </w:r>
    </w:p>
    <w:p w14:paraId="1585BD6A" w14:textId="25A04376" w:rsidR="00947E5F" w:rsidRDefault="00947E5F" w:rsidP="00D13DF8">
      <w:pPr>
        <w:pStyle w:val="NormalWeb"/>
        <w:spacing w:before="0" w:beforeAutospacing="0" w:after="0" w:afterAutospacing="0"/>
        <w:jc w:val="both"/>
        <w:rPr>
          <w:rFonts w:asciiTheme="minorHAnsi" w:eastAsiaTheme="minorHAnsi" w:hAnsiTheme="minorHAnsi" w:cstheme="minorBidi"/>
          <w:lang w:eastAsia="en-US"/>
        </w:rPr>
      </w:pPr>
    </w:p>
    <w:p w14:paraId="7653FB47" w14:textId="15294474" w:rsidR="00125DF8" w:rsidRDefault="00CE6C34" w:rsidP="00D13DF8">
      <w:pPr>
        <w:pStyle w:val="NormalWeb"/>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Depuis</w:t>
      </w:r>
      <w:r w:rsidR="00947E5F" w:rsidRPr="00354947">
        <w:rPr>
          <w:rFonts w:asciiTheme="minorHAnsi" w:eastAsiaTheme="minorHAnsi" w:hAnsiTheme="minorHAnsi" w:cstheme="minorBidi"/>
          <w:lang w:eastAsia="en-US"/>
        </w:rPr>
        <w:t xml:space="preserve"> 1972, </w:t>
      </w:r>
      <w:r w:rsidR="00947E5F">
        <w:rPr>
          <w:rFonts w:asciiTheme="minorHAnsi" w:eastAsiaTheme="minorHAnsi" w:hAnsiTheme="minorHAnsi" w:cstheme="minorBidi"/>
          <w:lang w:eastAsia="en-US"/>
        </w:rPr>
        <w:t xml:space="preserve">les </w:t>
      </w:r>
      <w:r>
        <w:rPr>
          <w:rFonts w:asciiTheme="minorHAnsi" w:eastAsiaTheme="minorHAnsi" w:hAnsiTheme="minorHAnsi" w:cstheme="minorBidi"/>
          <w:lang w:eastAsia="en-US"/>
        </w:rPr>
        <w:t>services</w:t>
      </w:r>
      <w:r w:rsidR="00947E5F">
        <w:rPr>
          <w:rFonts w:asciiTheme="minorHAnsi" w:eastAsiaTheme="minorHAnsi" w:hAnsiTheme="minorHAnsi" w:cstheme="minorBidi"/>
          <w:lang w:eastAsia="en-US"/>
        </w:rPr>
        <w:t xml:space="preserve"> de sécurité (</w:t>
      </w:r>
      <w:r w:rsidR="00947E5F" w:rsidRPr="00354947">
        <w:rPr>
          <w:rFonts w:asciiTheme="minorHAnsi" w:eastAsiaTheme="minorHAnsi" w:hAnsiTheme="minorHAnsi" w:cstheme="minorBidi"/>
          <w:lang w:eastAsia="en-US"/>
        </w:rPr>
        <w:t>police et gendarmerie nationales</w:t>
      </w:r>
      <w:r w:rsidR="00947E5F">
        <w:rPr>
          <w:rFonts w:asciiTheme="minorHAnsi" w:eastAsiaTheme="minorHAnsi" w:hAnsiTheme="minorHAnsi" w:cstheme="minorBidi"/>
          <w:lang w:eastAsia="en-US"/>
        </w:rPr>
        <w:t>)</w:t>
      </w:r>
      <w:r w:rsidR="00947E5F" w:rsidRPr="00354947">
        <w:rPr>
          <w:rFonts w:asciiTheme="minorHAnsi" w:eastAsiaTheme="minorHAnsi" w:hAnsiTheme="minorHAnsi" w:cstheme="minorBidi"/>
          <w:lang w:eastAsia="en-US"/>
        </w:rPr>
        <w:t xml:space="preserve"> se sont dotées d’un outil standardisé de mesure de l’activité judiciaire des services basé sur des comptages mensuels, appelé « état 4001 ». Ce document administratif porte sur les </w:t>
      </w:r>
      <w:r w:rsidR="00947E5F">
        <w:rPr>
          <w:rFonts w:asciiTheme="minorHAnsi" w:eastAsiaTheme="minorHAnsi" w:hAnsiTheme="minorHAnsi" w:cstheme="minorBidi"/>
          <w:lang w:eastAsia="en-US"/>
        </w:rPr>
        <w:t xml:space="preserve">infractions criminelles et délictuelles </w:t>
      </w:r>
      <w:r w:rsidR="00947E5F" w:rsidRPr="00354947">
        <w:rPr>
          <w:rFonts w:asciiTheme="minorHAnsi" w:eastAsiaTheme="minorHAnsi" w:hAnsiTheme="minorHAnsi" w:cstheme="minorBidi"/>
          <w:lang w:eastAsia="en-US"/>
        </w:rPr>
        <w:t>(exclusion des contraventions</w:t>
      </w:r>
      <w:r w:rsidR="00947E5F">
        <w:rPr>
          <w:rFonts w:asciiTheme="minorHAnsi" w:eastAsiaTheme="minorHAnsi" w:hAnsiTheme="minorHAnsi" w:cstheme="minorBidi"/>
          <w:lang w:eastAsia="en-US"/>
        </w:rPr>
        <w:t>)</w:t>
      </w:r>
      <w:r w:rsidR="00947E5F" w:rsidRPr="00354947">
        <w:rPr>
          <w:rFonts w:asciiTheme="minorHAnsi" w:eastAsiaTheme="minorHAnsi" w:hAnsiTheme="minorHAnsi" w:cstheme="minorBidi"/>
          <w:lang w:eastAsia="en-US"/>
        </w:rPr>
        <w:t xml:space="preserve"> enregistré</w:t>
      </w:r>
      <w:r w:rsidR="00947E5F">
        <w:rPr>
          <w:rFonts w:asciiTheme="minorHAnsi" w:eastAsiaTheme="minorHAnsi" w:hAnsiTheme="minorHAnsi" w:cstheme="minorBidi"/>
          <w:lang w:eastAsia="en-US"/>
        </w:rPr>
        <w:t>e</w:t>
      </w:r>
      <w:r w:rsidR="00947E5F" w:rsidRPr="00354947">
        <w:rPr>
          <w:rFonts w:asciiTheme="minorHAnsi" w:eastAsiaTheme="minorHAnsi" w:hAnsiTheme="minorHAnsi" w:cstheme="minorBidi"/>
          <w:lang w:eastAsia="en-US"/>
        </w:rPr>
        <w:t>s pour la</w:t>
      </w:r>
      <w:r w:rsidR="00947E5F">
        <w:rPr>
          <w:rFonts w:asciiTheme="minorHAnsi" w:eastAsiaTheme="minorHAnsi" w:hAnsiTheme="minorHAnsi" w:cstheme="minorBidi"/>
          <w:lang w:eastAsia="en-US"/>
        </w:rPr>
        <w:t xml:space="preserve"> </w:t>
      </w:r>
      <w:r w:rsidR="00947E5F" w:rsidRPr="00354947">
        <w:rPr>
          <w:rFonts w:asciiTheme="minorHAnsi" w:eastAsiaTheme="minorHAnsi" w:hAnsiTheme="minorHAnsi" w:cstheme="minorBidi"/>
          <w:lang w:eastAsia="en-US"/>
        </w:rPr>
        <w:t>première fois par les forces de sécurité (afin d’éviter une double comptabilisation si une même infraction est traitée successivement par des services différents) et portés à la connaissance de</w:t>
      </w:r>
      <w:r w:rsidR="00947E5F">
        <w:rPr>
          <w:rFonts w:asciiTheme="minorHAnsi" w:eastAsiaTheme="minorHAnsi" w:hAnsiTheme="minorHAnsi" w:cstheme="minorBidi"/>
          <w:lang w:eastAsia="en-US"/>
        </w:rPr>
        <w:t xml:space="preserve"> l</w:t>
      </w:r>
      <w:r w:rsidR="00947E5F" w:rsidRPr="00354947">
        <w:rPr>
          <w:rFonts w:asciiTheme="minorHAnsi" w:eastAsiaTheme="minorHAnsi" w:hAnsiTheme="minorHAnsi" w:cstheme="minorBidi"/>
          <w:lang w:eastAsia="en-US"/>
        </w:rPr>
        <w:t>’institution judiciaire (n’y sont donc retracées que les infractions suffisamment constituées</w:t>
      </w:r>
      <w:r w:rsidR="00947E5F">
        <w:rPr>
          <w:rFonts w:asciiTheme="minorHAnsi" w:eastAsiaTheme="minorHAnsi" w:hAnsiTheme="minorHAnsi" w:cstheme="minorBidi"/>
          <w:lang w:eastAsia="en-US"/>
        </w:rPr>
        <w:t xml:space="preserve"> j</w:t>
      </w:r>
      <w:r w:rsidR="00947E5F" w:rsidRPr="00354947">
        <w:rPr>
          <w:rFonts w:asciiTheme="minorHAnsi" w:eastAsiaTheme="minorHAnsi" w:hAnsiTheme="minorHAnsi" w:cstheme="minorBidi"/>
          <w:lang w:eastAsia="en-US"/>
        </w:rPr>
        <w:t>uridiquement pour pouvoir être poursuivies</w:t>
      </w:r>
      <w:r w:rsidR="00947E5F">
        <w:rPr>
          <w:rFonts w:asciiTheme="minorHAnsi" w:eastAsiaTheme="minorHAnsi" w:hAnsiTheme="minorHAnsi" w:cstheme="minorBidi"/>
          <w:lang w:eastAsia="en-US"/>
        </w:rPr>
        <w:t xml:space="preserve"> </w:t>
      </w:r>
      <w:r w:rsidR="00947E5F" w:rsidRPr="00354947">
        <w:rPr>
          <w:rFonts w:asciiTheme="minorHAnsi" w:eastAsiaTheme="minorHAnsi" w:hAnsiTheme="minorHAnsi" w:cstheme="minorBidi"/>
          <w:lang w:eastAsia="en-US"/>
        </w:rPr>
        <w:t>par un tribunal).</w:t>
      </w:r>
      <w:r w:rsidR="00947E5F">
        <w:rPr>
          <w:rFonts w:asciiTheme="minorHAnsi" w:eastAsiaTheme="minorHAnsi" w:hAnsiTheme="minorHAnsi" w:cstheme="minorBidi"/>
          <w:lang w:eastAsia="en-US"/>
        </w:rPr>
        <w:t xml:space="preserve"> </w:t>
      </w:r>
      <w:r w:rsidR="00947E5F" w:rsidRPr="006E3ACE">
        <w:rPr>
          <w:rFonts w:asciiTheme="minorHAnsi" w:eastAsiaTheme="minorHAnsi" w:hAnsiTheme="minorHAnsi" w:cstheme="minorBidi"/>
          <w:lang w:eastAsia="en-US"/>
        </w:rPr>
        <w:t>Les infractions y sont classées en 10</w:t>
      </w:r>
      <w:r w:rsidR="00FE26D6">
        <w:rPr>
          <w:rFonts w:asciiTheme="minorHAnsi" w:eastAsiaTheme="minorHAnsi" w:hAnsiTheme="minorHAnsi" w:cstheme="minorBidi"/>
          <w:lang w:eastAsia="en-US"/>
        </w:rPr>
        <w:t>7</w:t>
      </w:r>
      <w:r w:rsidR="00947E5F" w:rsidRPr="006E3ACE">
        <w:rPr>
          <w:rFonts w:asciiTheme="minorHAnsi" w:eastAsiaTheme="minorHAnsi" w:hAnsiTheme="minorHAnsi" w:cstheme="minorBidi"/>
          <w:lang w:eastAsia="en-US"/>
        </w:rPr>
        <w:t xml:space="preserve"> catégories, très hétérogènes par la nature et la gravité des faits, mais aussi par le nombre d’infractions constatées chaque mois. On y trouve aussi bien les « Homicides commis sur des mineurs de moins de 15 ans » que les « Coups et blessures volontaires criminels ou</w:t>
      </w:r>
      <w:r w:rsidR="00947E5F">
        <w:rPr>
          <w:rFonts w:asciiTheme="minorHAnsi" w:eastAsiaTheme="minorHAnsi" w:hAnsiTheme="minorHAnsi" w:cstheme="minorBidi"/>
          <w:lang w:eastAsia="en-US"/>
        </w:rPr>
        <w:t xml:space="preserve"> </w:t>
      </w:r>
      <w:r w:rsidR="00947E5F" w:rsidRPr="006E3ACE">
        <w:rPr>
          <w:rFonts w:asciiTheme="minorHAnsi" w:eastAsiaTheme="minorHAnsi" w:hAnsiTheme="minorHAnsi" w:cstheme="minorBidi"/>
          <w:lang w:eastAsia="en-US"/>
        </w:rPr>
        <w:t>correctionnels sur personnes de 15 ans et plus »; l’infraction de « Non</w:t>
      </w:r>
      <w:r w:rsidR="00947E5F">
        <w:rPr>
          <w:rFonts w:asciiTheme="minorHAnsi" w:eastAsiaTheme="minorHAnsi" w:hAnsiTheme="minorHAnsi" w:cstheme="minorBidi"/>
          <w:lang w:eastAsia="en-US"/>
        </w:rPr>
        <w:t xml:space="preserve"> </w:t>
      </w:r>
      <w:r w:rsidR="00947E5F" w:rsidRPr="006E3ACE">
        <w:rPr>
          <w:rFonts w:asciiTheme="minorHAnsi" w:eastAsiaTheme="minorHAnsi" w:hAnsiTheme="minorHAnsi" w:cstheme="minorBidi"/>
          <w:lang w:eastAsia="en-US"/>
        </w:rPr>
        <w:t>versements de pension alimentaire » ou encore les « Infractions relatives à la chasse et à la pêche »</w:t>
      </w:r>
      <w:r w:rsidR="00FE26D6">
        <w:rPr>
          <w:rFonts w:asciiTheme="minorHAnsi" w:eastAsiaTheme="minorHAnsi" w:hAnsiTheme="minorHAnsi" w:cstheme="minorBidi"/>
          <w:lang w:eastAsia="en-US"/>
        </w:rPr>
        <w:t>.</w:t>
      </w:r>
      <w:r w:rsidR="00947E5F" w:rsidRPr="006E3ACE">
        <w:rPr>
          <w:rFonts w:asciiTheme="minorHAnsi" w:eastAsiaTheme="minorHAnsi" w:hAnsiTheme="minorHAnsi" w:cstheme="minorBidi"/>
          <w:lang w:eastAsia="en-US"/>
        </w:rPr>
        <w:t xml:space="preserve"> Les critères de différenciation entre les postes de cette nomenclature font souvent référence à l’incrimination pénale constitutive du crime ou du délit, mais aussi</w:t>
      </w:r>
      <w:r w:rsidR="00947E5F">
        <w:rPr>
          <w:rFonts w:asciiTheme="minorHAnsi" w:eastAsiaTheme="minorHAnsi" w:hAnsiTheme="minorHAnsi" w:cstheme="minorBidi"/>
          <w:lang w:eastAsia="en-US"/>
        </w:rPr>
        <w:t xml:space="preserve"> </w:t>
      </w:r>
      <w:r w:rsidR="00947E5F" w:rsidRPr="006E3ACE">
        <w:rPr>
          <w:rFonts w:asciiTheme="minorHAnsi" w:eastAsiaTheme="minorHAnsi" w:hAnsiTheme="minorHAnsi" w:cstheme="minorBidi"/>
          <w:lang w:eastAsia="en-US"/>
        </w:rPr>
        <w:t>parfois au type de victime (les mineurs de moins de 15 ans sont souvent spécifiés, ainsi que les particuliers, voire les femmes, ou certains groupes professionnels), au mode opératoire (le cambriolage est spécifié, ainsi que le « vol à la tire ») ou au lieu de commission de l’infraction (lieux publics, domiciles...). Numérotée de 1 à</w:t>
      </w:r>
      <w:r w:rsidR="00947E5F">
        <w:rPr>
          <w:rFonts w:asciiTheme="minorHAnsi" w:eastAsiaTheme="minorHAnsi" w:hAnsiTheme="minorHAnsi" w:cstheme="minorBidi"/>
          <w:lang w:eastAsia="en-US"/>
        </w:rPr>
        <w:t xml:space="preserve"> </w:t>
      </w:r>
      <w:r w:rsidR="00947E5F" w:rsidRPr="006E3ACE">
        <w:rPr>
          <w:rFonts w:asciiTheme="minorHAnsi" w:eastAsiaTheme="minorHAnsi" w:hAnsiTheme="minorHAnsi" w:cstheme="minorBidi"/>
          <w:lang w:eastAsia="en-US"/>
        </w:rPr>
        <w:t>107 (quatre positions ne sont pas utilisées, on recense donc 103 types d’infractions), cette nomenclature, qui n’a évolué que</w:t>
      </w:r>
      <w:r w:rsidR="00947E5F">
        <w:rPr>
          <w:rFonts w:asciiTheme="minorHAnsi" w:eastAsiaTheme="minorHAnsi" w:hAnsiTheme="minorHAnsi" w:cstheme="minorBidi"/>
          <w:lang w:eastAsia="en-US"/>
        </w:rPr>
        <w:t xml:space="preserve"> </w:t>
      </w:r>
      <w:r w:rsidR="00947E5F" w:rsidRPr="006E3ACE">
        <w:rPr>
          <w:rFonts w:asciiTheme="minorHAnsi" w:eastAsiaTheme="minorHAnsi" w:hAnsiTheme="minorHAnsi" w:cstheme="minorBidi"/>
          <w:lang w:eastAsia="en-US"/>
        </w:rPr>
        <w:t>marginalement depuis 1972 est appelée couramment « les 107 index de l’état 4001 »)</w:t>
      </w:r>
      <w:r w:rsidR="00947E5F" w:rsidRPr="00354947">
        <w:rPr>
          <w:rFonts w:asciiTheme="minorHAnsi" w:eastAsiaTheme="minorHAnsi" w:hAnsiTheme="minorHAnsi" w:cstheme="minorBidi"/>
          <w:lang w:eastAsia="en-US"/>
        </w:rPr>
        <w:t>. Ce sont les séries suivies</w:t>
      </w:r>
      <w:r w:rsidR="00947E5F">
        <w:rPr>
          <w:rFonts w:asciiTheme="minorHAnsi" w:eastAsiaTheme="minorHAnsi" w:hAnsiTheme="minorHAnsi" w:cstheme="minorBidi"/>
          <w:lang w:eastAsia="en-US"/>
        </w:rPr>
        <w:t xml:space="preserve"> </w:t>
      </w:r>
      <w:r w:rsidR="00947E5F">
        <w:rPr>
          <w:rFonts w:asciiTheme="minorHAnsi" w:eastAsiaTheme="minorHAnsi" w:hAnsiTheme="minorHAnsi" w:cstheme="minorBidi"/>
          <w:lang w:eastAsia="en-US"/>
        </w:rPr>
        <w:lastRenderedPageBreak/>
        <w:t>h</w:t>
      </w:r>
      <w:r w:rsidR="00947E5F" w:rsidRPr="00354947">
        <w:rPr>
          <w:rFonts w:asciiTheme="minorHAnsi" w:eastAsiaTheme="minorHAnsi" w:hAnsiTheme="minorHAnsi" w:cstheme="minorBidi"/>
          <w:lang w:eastAsia="en-US"/>
        </w:rPr>
        <w:t>istoriquement par le ministère de l’Intérieur</w:t>
      </w:r>
      <w:r w:rsidR="00FE26D6">
        <w:rPr>
          <w:rFonts w:asciiTheme="minorHAnsi" w:eastAsiaTheme="minorHAnsi" w:hAnsiTheme="minorHAnsi" w:cstheme="minorBidi"/>
          <w:lang w:eastAsia="en-US"/>
        </w:rPr>
        <w:t>, y compris</w:t>
      </w:r>
      <w:r w:rsidR="00947E5F">
        <w:rPr>
          <w:rFonts w:asciiTheme="minorHAnsi" w:eastAsiaTheme="minorHAnsi" w:hAnsiTheme="minorHAnsi" w:cstheme="minorBidi"/>
          <w:lang w:eastAsia="en-US"/>
        </w:rPr>
        <w:t xml:space="preserve"> depuis sa création fin 2014 par le Service statistique ministériel de la sécurité intérieure (SSMSI)</w:t>
      </w:r>
      <w:r w:rsidR="00947E5F" w:rsidRPr="00354947">
        <w:rPr>
          <w:rFonts w:asciiTheme="minorHAnsi" w:eastAsiaTheme="minorHAnsi" w:hAnsiTheme="minorHAnsi" w:cstheme="minorBidi"/>
          <w:lang w:eastAsia="en-US"/>
        </w:rPr>
        <w:t>.</w:t>
      </w:r>
    </w:p>
    <w:p w14:paraId="1FBF0F0B" w14:textId="77777777" w:rsidR="00125DF8" w:rsidRDefault="00125DF8" w:rsidP="00947E5F">
      <w:pPr>
        <w:pStyle w:val="NormalWeb"/>
        <w:spacing w:before="0" w:beforeAutospacing="0" w:after="0" w:afterAutospacing="0"/>
        <w:rPr>
          <w:rFonts w:asciiTheme="minorHAnsi" w:eastAsiaTheme="minorHAnsi" w:hAnsiTheme="minorHAnsi" w:cstheme="minorBidi"/>
          <w:lang w:eastAsia="en-US"/>
        </w:rPr>
      </w:pPr>
    </w:p>
    <w:p w14:paraId="06582E32" w14:textId="4E04764E" w:rsidR="006F2B42" w:rsidRPr="00F20B65" w:rsidRDefault="006F2B42" w:rsidP="006F2B42">
      <w:pPr>
        <w:pStyle w:val="FirstParagraph"/>
        <w:jc w:val="both"/>
        <w:rPr>
          <w:lang w:val="fr-FR"/>
        </w:rPr>
      </w:pPr>
      <w:r w:rsidRPr="00F20B65">
        <w:rPr>
          <w:lang w:val="fr-FR"/>
        </w:rPr>
        <w:t xml:space="preserve">La disponibilité, depuis le printemps 2016, de bases de données détaillées sur les infractions constatées a permis la construction de catégories statistiques plus fines que celles de « l’état </w:t>
      </w:r>
      <w:r w:rsidR="004B51E3" w:rsidRPr="00F20B65">
        <w:rPr>
          <w:lang w:val="fr-FR"/>
        </w:rPr>
        <w:t>4001 »</w:t>
      </w:r>
      <w:r w:rsidRPr="00F20B65">
        <w:rPr>
          <w:lang w:val="fr-FR"/>
        </w:rPr>
        <w:t xml:space="preserve"> (comptages historiques suivis par le ministère de l’Intérieur) : repérage des violences intrafamiliales, analyses par types de victimes ou selon la localisation des faits (par exemple dans les transports en commun).</w:t>
      </w:r>
    </w:p>
    <w:p w14:paraId="75021D97" w14:textId="77777777" w:rsidR="000A393B" w:rsidRDefault="000A393B" w:rsidP="00D13DF8">
      <w:pPr>
        <w:pStyle w:val="NormalWeb"/>
        <w:spacing w:before="0" w:beforeAutospacing="0" w:after="0" w:afterAutospacing="0"/>
        <w:jc w:val="both"/>
        <w:rPr>
          <w:rFonts w:asciiTheme="minorHAnsi" w:eastAsiaTheme="minorHAnsi" w:hAnsiTheme="minorHAnsi" w:cstheme="minorBidi"/>
          <w:lang w:eastAsia="en-US"/>
        </w:rPr>
      </w:pPr>
    </w:p>
    <w:p w14:paraId="71C189DD" w14:textId="1676A446" w:rsidR="003014B0" w:rsidRPr="00337FAB" w:rsidRDefault="003014B0" w:rsidP="00D13DF8">
      <w:pPr>
        <w:pStyle w:val="NormalWeb"/>
        <w:spacing w:before="0" w:beforeAutospacing="0" w:after="0" w:afterAutospacing="0"/>
        <w:jc w:val="both"/>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Afin de favoriser l’ouverture des données sur la délinquance et l’insécurité, le SSMSI met à disposition</w:t>
      </w:r>
      <w:r w:rsidR="00112234">
        <w:rPr>
          <w:rFonts w:asciiTheme="minorHAnsi" w:eastAsiaTheme="minorHAnsi" w:hAnsiTheme="minorHAnsi" w:cstheme="minorBidi"/>
          <w:b/>
          <w:lang w:eastAsia="en-US"/>
        </w:rPr>
        <w:t xml:space="preserve">, </w:t>
      </w:r>
      <w:r w:rsidR="00104809">
        <w:rPr>
          <w:rFonts w:asciiTheme="minorHAnsi" w:eastAsiaTheme="minorHAnsi" w:hAnsiTheme="minorHAnsi" w:cstheme="minorBidi"/>
          <w:b/>
          <w:lang w:eastAsia="en-US"/>
        </w:rPr>
        <w:t>3</w:t>
      </w:r>
      <w:r w:rsidRPr="00337FAB">
        <w:rPr>
          <w:rFonts w:asciiTheme="minorHAnsi" w:eastAsiaTheme="minorHAnsi" w:hAnsiTheme="minorHAnsi" w:cstheme="minorBidi"/>
          <w:b/>
          <w:lang w:eastAsia="en-US"/>
        </w:rPr>
        <w:t xml:space="preserve"> bases de données annuelles</w:t>
      </w:r>
      <w:r w:rsidR="00104809">
        <w:rPr>
          <w:rFonts w:asciiTheme="minorHAnsi" w:eastAsiaTheme="minorHAnsi" w:hAnsiTheme="minorHAnsi" w:cstheme="minorBidi"/>
          <w:b/>
          <w:lang w:eastAsia="en-US"/>
        </w:rPr>
        <w:t xml:space="preserve"> (communale, départementale et régionale)</w:t>
      </w:r>
      <w:r w:rsidR="00FE26D6" w:rsidRPr="00FE26D6">
        <w:rPr>
          <w:rFonts w:asciiTheme="minorHAnsi" w:eastAsiaTheme="minorHAnsi" w:hAnsiTheme="minorHAnsi" w:cstheme="minorBidi"/>
          <w:b/>
          <w:lang w:eastAsia="en-US"/>
        </w:rPr>
        <w:t xml:space="preserve"> </w:t>
      </w:r>
      <w:r w:rsidR="00FE26D6">
        <w:rPr>
          <w:rFonts w:asciiTheme="minorHAnsi" w:eastAsiaTheme="minorHAnsi" w:hAnsiTheme="minorHAnsi" w:cstheme="minorBidi"/>
          <w:b/>
          <w:lang w:eastAsia="en-US"/>
        </w:rPr>
        <w:t>sur l</w:t>
      </w:r>
      <w:r w:rsidR="00FE26D6" w:rsidRPr="00E74F67">
        <w:rPr>
          <w:rFonts w:asciiTheme="minorHAnsi" w:eastAsiaTheme="minorHAnsi" w:hAnsiTheme="minorHAnsi" w:cstheme="minorBidi"/>
          <w:b/>
          <w:lang w:eastAsia="en-US"/>
        </w:rPr>
        <w:t>es principaux</w:t>
      </w:r>
      <w:r w:rsidR="00FE26D6">
        <w:rPr>
          <w:rFonts w:asciiTheme="minorHAnsi" w:eastAsiaTheme="minorHAnsi" w:hAnsiTheme="minorHAnsi" w:cstheme="minorBidi"/>
          <w:b/>
          <w:lang w:eastAsia="en-US"/>
        </w:rPr>
        <w:t xml:space="preserve"> indicateurs des</w:t>
      </w:r>
      <w:r w:rsidR="00FE26D6" w:rsidRPr="00E74F67">
        <w:rPr>
          <w:rFonts w:asciiTheme="minorHAnsi" w:eastAsiaTheme="minorHAnsi" w:hAnsiTheme="minorHAnsi" w:cstheme="minorBidi"/>
          <w:b/>
          <w:lang w:eastAsia="en-US"/>
        </w:rPr>
        <w:t xml:space="preserve"> crimes et délits enregistrés par la police et la gendarmerie nationales</w:t>
      </w:r>
      <w:r w:rsidR="00FE26D6">
        <w:rPr>
          <w:rFonts w:asciiTheme="minorHAnsi" w:eastAsiaTheme="minorHAnsi" w:hAnsiTheme="minorHAnsi" w:cstheme="minorBidi"/>
          <w:b/>
          <w:lang w:eastAsia="en-US"/>
        </w:rPr>
        <w:t xml:space="preserve">, </w:t>
      </w:r>
      <w:r w:rsidR="0082745C">
        <w:rPr>
          <w:rFonts w:asciiTheme="minorHAnsi" w:eastAsiaTheme="minorHAnsi" w:hAnsiTheme="minorHAnsi" w:cstheme="minorBidi"/>
          <w:b/>
          <w:lang w:eastAsia="en-US"/>
        </w:rPr>
        <w:t>depuis</w:t>
      </w:r>
      <w:r w:rsidR="00FE26D6" w:rsidRPr="00E74F67">
        <w:rPr>
          <w:rFonts w:asciiTheme="minorHAnsi" w:eastAsiaTheme="minorHAnsi" w:hAnsiTheme="minorHAnsi" w:cstheme="minorBidi"/>
          <w:b/>
          <w:lang w:eastAsia="en-US"/>
        </w:rPr>
        <w:t xml:space="preserve"> 2016</w:t>
      </w:r>
      <w:r w:rsidR="00EA5DF9">
        <w:rPr>
          <w:rFonts w:asciiTheme="minorHAnsi" w:eastAsiaTheme="minorHAnsi" w:hAnsiTheme="minorHAnsi" w:cstheme="minorBidi"/>
          <w:b/>
          <w:lang w:eastAsia="en-US"/>
        </w:rPr>
        <w:t xml:space="preserve">, </w:t>
      </w:r>
      <w:r w:rsidR="00104809">
        <w:rPr>
          <w:rFonts w:asciiTheme="minorHAnsi" w:eastAsiaTheme="minorHAnsi" w:hAnsiTheme="minorHAnsi" w:cstheme="minorBidi"/>
          <w:b/>
          <w:lang w:eastAsia="en-US"/>
        </w:rPr>
        <w:t>toutes les trois</w:t>
      </w:r>
      <w:r w:rsidR="00FE26D6">
        <w:rPr>
          <w:rFonts w:asciiTheme="minorHAnsi" w:eastAsiaTheme="minorHAnsi" w:hAnsiTheme="minorHAnsi" w:cstheme="minorBidi"/>
          <w:b/>
          <w:lang w:eastAsia="en-US"/>
        </w:rPr>
        <w:t xml:space="preserve"> </w:t>
      </w:r>
      <w:r w:rsidR="00EA5DF9">
        <w:rPr>
          <w:rFonts w:asciiTheme="minorHAnsi" w:eastAsiaTheme="minorHAnsi" w:hAnsiTheme="minorHAnsi" w:cstheme="minorBidi"/>
          <w:b/>
          <w:lang w:eastAsia="en-US"/>
        </w:rPr>
        <w:t>selon le lieu de commission</w:t>
      </w:r>
      <w:r w:rsidR="00054001" w:rsidRPr="00337FAB">
        <w:rPr>
          <w:rFonts w:asciiTheme="minorHAnsi" w:eastAsiaTheme="minorHAnsi" w:hAnsiTheme="minorHAnsi" w:cstheme="minorBidi"/>
          <w:b/>
          <w:lang w:eastAsia="en-US"/>
        </w:rPr>
        <w:t>.</w:t>
      </w:r>
    </w:p>
    <w:p w14:paraId="48E38E83" w14:textId="77777777" w:rsidR="00054001" w:rsidRPr="00337FAB" w:rsidRDefault="00054001" w:rsidP="00054001">
      <w:pPr>
        <w:pStyle w:val="NormalWeb"/>
        <w:spacing w:before="0" w:beforeAutospacing="0" w:after="0" w:afterAutospacing="0"/>
        <w:rPr>
          <w:rFonts w:asciiTheme="minorHAnsi" w:eastAsiaTheme="minorHAnsi" w:hAnsiTheme="minorHAnsi" w:cstheme="minorBidi"/>
          <w:b/>
          <w:lang w:eastAsia="en-US"/>
        </w:rPr>
      </w:pPr>
    </w:p>
    <w:p w14:paraId="3A3E9C97" w14:textId="1710A2BC" w:rsidR="00F5043D" w:rsidRDefault="00952417">
      <w:pPr>
        <w:pStyle w:val="NormalWeb"/>
        <w:spacing w:before="0" w:beforeAutospacing="0" w:after="0" w:afterAutospacing="0"/>
        <w:rPr>
          <w:rFonts w:asciiTheme="minorHAnsi" w:eastAsiaTheme="minorHAnsi" w:hAnsiTheme="minorHAnsi" w:cstheme="minorBidi"/>
          <w:b/>
          <w:lang w:eastAsia="en-US"/>
        </w:rPr>
      </w:pPr>
      <w:r>
        <w:rPr>
          <w:rFonts w:asciiTheme="minorHAnsi" w:eastAsiaTheme="minorHAnsi" w:hAnsiTheme="minorHAnsi" w:cstheme="minorBidi"/>
          <w:b/>
          <w:lang w:eastAsia="en-US"/>
        </w:rPr>
        <w:t>Actuellement,</w:t>
      </w:r>
      <w:r w:rsidR="00054001" w:rsidRPr="00337FAB">
        <w:rPr>
          <w:rFonts w:asciiTheme="minorHAnsi" w:eastAsiaTheme="minorHAnsi" w:hAnsiTheme="minorHAnsi" w:cstheme="minorBidi"/>
          <w:b/>
          <w:lang w:eastAsia="en-US"/>
        </w:rPr>
        <w:t xml:space="preserve"> </w:t>
      </w:r>
      <w:r w:rsidRPr="00337FAB">
        <w:rPr>
          <w:rFonts w:asciiTheme="minorHAnsi" w:eastAsiaTheme="minorHAnsi" w:hAnsiTheme="minorHAnsi" w:cstheme="minorBidi"/>
          <w:b/>
          <w:lang w:eastAsia="en-US"/>
        </w:rPr>
        <w:t>1</w:t>
      </w:r>
      <w:r>
        <w:rPr>
          <w:rFonts w:asciiTheme="minorHAnsi" w:eastAsiaTheme="minorHAnsi" w:hAnsiTheme="minorHAnsi" w:cstheme="minorBidi"/>
          <w:b/>
          <w:lang w:eastAsia="en-US"/>
        </w:rPr>
        <w:t>7</w:t>
      </w:r>
      <w:r w:rsidRPr="00337FAB">
        <w:rPr>
          <w:rFonts w:asciiTheme="minorHAnsi" w:eastAsiaTheme="minorHAnsi" w:hAnsiTheme="minorHAnsi" w:cstheme="minorBidi"/>
          <w:b/>
          <w:lang w:eastAsia="en-US"/>
        </w:rPr>
        <w:t xml:space="preserve"> </w:t>
      </w:r>
      <w:r w:rsidR="00054001" w:rsidRPr="00337FAB">
        <w:rPr>
          <w:rFonts w:asciiTheme="minorHAnsi" w:eastAsiaTheme="minorHAnsi" w:hAnsiTheme="minorHAnsi" w:cstheme="minorBidi"/>
          <w:b/>
          <w:lang w:eastAsia="en-US"/>
        </w:rPr>
        <w:t xml:space="preserve">indicateurs </w:t>
      </w:r>
      <w:r>
        <w:rPr>
          <w:rFonts w:asciiTheme="minorHAnsi" w:eastAsiaTheme="minorHAnsi" w:hAnsiTheme="minorHAnsi" w:cstheme="minorBidi"/>
          <w:b/>
          <w:lang w:eastAsia="en-US"/>
        </w:rPr>
        <w:t>sont diffusés.</w:t>
      </w:r>
    </w:p>
    <w:p w14:paraId="38DE10FD" w14:textId="77777777" w:rsidR="00F5043D" w:rsidRDefault="00F5043D" w:rsidP="00BA1731">
      <w:pPr>
        <w:pStyle w:val="NormalWeb"/>
        <w:spacing w:before="0" w:beforeAutospacing="0" w:after="0" w:afterAutospacing="0"/>
        <w:rPr>
          <w:rFonts w:asciiTheme="minorHAnsi" w:eastAsiaTheme="minorHAnsi" w:hAnsiTheme="minorHAnsi" w:cstheme="minorBidi"/>
          <w:b/>
          <w:lang w:eastAsia="en-US"/>
        </w:rPr>
      </w:pPr>
    </w:p>
    <w:tbl>
      <w:tblPr>
        <w:tblStyle w:val="Grilledutableau"/>
        <w:tblW w:w="9072" w:type="dxa"/>
        <w:tblLayout w:type="fixed"/>
        <w:tblLook w:val="04A0" w:firstRow="1" w:lastRow="0" w:firstColumn="1" w:lastColumn="0" w:noHBand="0" w:noVBand="1"/>
      </w:tblPr>
      <w:tblGrid>
        <w:gridCol w:w="3969"/>
        <w:gridCol w:w="1701"/>
        <w:gridCol w:w="1134"/>
        <w:gridCol w:w="1134"/>
        <w:gridCol w:w="1134"/>
      </w:tblGrid>
      <w:tr w:rsidR="00C62B0F" w14:paraId="75343708" w14:textId="77777777" w:rsidTr="00AF6F06">
        <w:trPr>
          <w:tblHeader/>
        </w:trPr>
        <w:tc>
          <w:tcPr>
            <w:tcW w:w="3969" w:type="dxa"/>
            <w:tcBorders>
              <w:top w:val="nil"/>
              <w:left w:val="nil"/>
              <w:bottom w:val="single" w:sz="4" w:space="0" w:color="auto"/>
              <w:right w:val="nil"/>
            </w:tcBorders>
            <w:shd w:val="clear" w:color="auto" w:fill="auto"/>
            <w:vAlign w:val="center"/>
          </w:tcPr>
          <w:p w14:paraId="74EC8216" w14:textId="77777777" w:rsidR="00C62B0F" w:rsidRPr="00C62B0F" w:rsidRDefault="00C62B0F">
            <w:pPr>
              <w:pStyle w:val="NormalWeb"/>
              <w:spacing w:before="0" w:beforeAutospacing="0" w:after="0" w:afterAutospacing="0"/>
              <w:jc w:val="center"/>
              <w:rPr>
                <w:rFonts w:asciiTheme="minorHAnsi" w:eastAsiaTheme="minorHAnsi" w:hAnsiTheme="minorHAnsi" w:cstheme="minorBidi"/>
                <w:b/>
                <w:color w:val="FFFFFF" w:themeColor="background1"/>
                <w:lang w:eastAsia="en-US"/>
              </w:rPr>
            </w:pPr>
          </w:p>
        </w:tc>
        <w:tc>
          <w:tcPr>
            <w:tcW w:w="1701" w:type="dxa"/>
            <w:tcBorders>
              <w:top w:val="nil"/>
              <w:left w:val="nil"/>
              <w:bottom w:val="single" w:sz="4" w:space="0" w:color="auto"/>
              <w:right w:val="single" w:sz="4" w:space="0" w:color="auto"/>
            </w:tcBorders>
            <w:shd w:val="clear" w:color="auto" w:fill="auto"/>
            <w:vAlign w:val="center"/>
          </w:tcPr>
          <w:p w14:paraId="30477F27" w14:textId="77777777" w:rsidR="00C62B0F" w:rsidRPr="00FD2A7D" w:rsidRDefault="00C62B0F">
            <w:pPr>
              <w:pStyle w:val="NormalWeb"/>
              <w:spacing w:before="0" w:beforeAutospacing="0" w:after="0" w:afterAutospacing="0"/>
              <w:jc w:val="center"/>
              <w:rPr>
                <w:rFonts w:asciiTheme="minorHAnsi" w:eastAsiaTheme="minorHAnsi" w:hAnsiTheme="minorHAnsi" w:cstheme="minorBidi"/>
                <w:b/>
                <w:color w:val="FFFFFF" w:themeColor="background1"/>
                <w:lang w:eastAsia="en-US"/>
              </w:rPr>
            </w:pPr>
          </w:p>
        </w:tc>
        <w:tc>
          <w:tcPr>
            <w:tcW w:w="3402" w:type="dxa"/>
            <w:gridSpan w:val="3"/>
            <w:tcBorders>
              <w:left w:val="single" w:sz="4" w:space="0" w:color="auto"/>
            </w:tcBorders>
            <w:shd w:val="clear" w:color="auto" w:fill="7F7F7F" w:themeFill="text1" w:themeFillTint="80"/>
            <w:vAlign w:val="center"/>
          </w:tcPr>
          <w:p w14:paraId="53E0E168" w14:textId="20B69FB8" w:rsidR="00C62B0F" w:rsidRDefault="00C62B0F">
            <w:pPr>
              <w:pStyle w:val="NormalWeb"/>
              <w:spacing w:before="0" w:beforeAutospacing="0" w:after="0" w:afterAutospacing="0"/>
              <w:jc w:val="center"/>
              <w:rPr>
                <w:rFonts w:asciiTheme="minorHAnsi" w:eastAsiaTheme="minorHAnsi" w:hAnsiTheme="minorHAnsi" w:cstheme="minorBidi"/>
                <w:b/>
                <w:color w:val="FFFFFF" w:themeColor="background1"/>
                <w:lang w:eastAsia="en-US"/>
              </w:rPr>
            </w:pPr>
            <w:r>
              <w:rPr>
                <w:rFonts w:asciiTheme="minorHAnsi" w:eastAsiaTheme="minorHAnsi" w:hAnsiTheme="minorHAnsi" w:cstheme="minorBidi"/>
                <w:b/>
                <w:color w:val="FFFFFF" w:themeColor="background1"/>
                <w:lang w:eastAsia="en-US"/>
              </w:rPr>
              <w:t>Disponibilité de l’indicateur dans la base …</w:t>
            </w:r>
          </w:p>
        </w:tc>
      </w:tr>
      <w:tr w:rsidR="00F76C44" w14:paraId="4A957C0E" w14:textId="77777777" w:rsidTr="00AD3D49">
        <w:trPr>
          <w:tblHeader/>
        </w:trPr>
        <w:tc>
          <w:tcPr>
            <w:tcW w:w="3969" w:type="dxa"/>
            <w:tcBorders>
              <w:top w:val="single" w:sz="4" w:space="0" w:color="auto"/>
            </w:tcBorders>
            <w:shd w:val="clear" w:color="auto" w:fill="7F7F7F" w:themeFill="text1" w:themeFillTint="80"/>
            <w:vAlign w:val="center"/>
          </w:tcPr>
          <w:p w14:paraId="01E85561" w14:textId="674E25D2" w:rsidR="00F76C44" w:rsidRPr="00AD3D49" w:rsidRDefault="00F76C44" w:rsidP="00AD3D49">
            <w:pPr>
              <w:pStyle w:val="NormalWeb"/>
              <w:spacing w:before="0" w:beforeAutospacing="0" w:after="0" w:afterAutospacing="0"/>
              <w:jc w:val="center"/>
              <w:rPr>
                <w:rFonts w:asciiTheme="minorHAnsi" w:eastAsiaTheme="minorHAnsi" w:hAnsiTheme="minorHAnsi" w:cstheme="minorBidi"/>
                <w:b/>
                <w:color w:val="FFFFFF" w:themeColor="background1"/>
                <w:lang w:eastAsia="en-US"/>
              </w:rPr>
            </w:pPr>
            <w:r w:rsidRPr="00AD3D49">
              <w:rPr>
                <w:rFonts w:asciiTheme="minorHAnsi" w:eastAsiaTheme="minorHAnsi" w:hAnsiTheme="minorHAnsi" w:cstheme="minorBidi"/>
                <w:b/>
                <w:color w:val="FFFFFF" w:themeColor="background1"/>
                <w:lang w:eastAsia="en-US"/>
              </w:rPr>
              <w:t>Indicateur</w:t>
            </w:r>
          </w:p>
        </w:tc>
        <w:tc>
          <w:tcPr>
            <w:tcW w:w="1701" w:type="dxa"/>
            <w:tcBorders>
              <w:top w:val="single" w:sz="4" w:space="0" w:color="auto"/>
            </w:tcBorders>
            <w:shd w:val="clear" w:color="auto" w:fill="7F7F7F" w:themeFill="text1" w:themeFillTint="80"/>
            <w:vAlign w:val="center"/>
          </w:tcPr>
          <w:p w14:paraId="492023B5" w14:textId="46D6620F" w:rsidR="00FD2A7D" w:rsidRPr="00AD3D49" w:rsidRDefault="00FD2A7D" w:rsidP="00AD3D49">
            <w:pPr>
              <w:pStyle w:val="NormalWeb"/>
              <w:spacing w:before="0" w:beforeAutospacing="0" w:after="0" w:afterAutospacing="0"/>
              <w:jc w:val="center"/>
              <w:rPr>
                <w:rFonts w:asciiTheme="minorHAnsi" w:eastAsiaTheme="minorHAnsi" w:hAnsiTheme="minorHAnsi" w:cstheme="minorBidi"/>
                <w:b/>
                <w:color w:val="FFFFFF" w:themeColor="background1"/>
                <w:lang w:eastAsia="en-US"/>
              </w:rPr>
            </w:pPr>
            <w:r w:rsidRPr="00FD2A7D">
              <w:rPr>
                <w:rFonts w:asciiTheme="minorHAnsi" w:eastAsiaTheme="minorHAnsi" w:hAnsiTheme="minorHAnsi" w:cstheme="minorBidi"/>
                <w:b/>
                <w:color w:val="FFFFFF" w:themeColor="background1"/>
                <w:lang w:eastAsia="en-US"/>
              </w:rPr>
              <w:t>Unité de compte</w:t>
            </w:r>
          </w:p>
        </w:tc>
        <w:tc>
          <w:tcPr>
            <w:tcW w:w="1134" w:type="dxa"/>
            <w:shd w:val="clear" w:color="auto" w:fill="7F7F7F" w:themeFill="text1" w:themeFillTint="80"/>
            <w:vAlign w:val="center"/>
          </w:tcPr>
          <w:p w14:paraId="7106BCCE" w14:textId="1B0BF09D" w:rsidR="00F76C44" w:rsidRPr="00AD3D49" w:rsidRDefault="00C62B0F" w:rsidP="00AD3D49">
            <w:pPr>
              <w:pStyle w:val="NormalWeb"/>
              <w:spacing w:before="0" w:beforeAutospacing="0" w:after="0" w:afterAutospacing="0"/>
              <w:jc w:val="center"/>
              <w:rPr>
                <w:rFonts w:asciiTheme="minorHAnsi" w:eastAsiaTheme="minorHAnsi" w:hAnsiTheme="minorHAnsi" w:cstheme="minorBidi"/>
                <w:b/>
                <w:color w:val="FFFFFF" w:themeColor="background1"/>
                <w:lang w:eastAsia="en-US"/>
              </w:rPr>
            </w:pPr>
            <w:r>
              <w:rPr>
                <w:rFonts w:asciiTheme="minorHAnsi" w:eastAsiaTheme="minorHAnsi" w:hAnsiTheme="minorHAnsi" w:cstheme="minorBidi"/>
                <w:b/>
                <w:color w:val="FFFFFF" w:themeColor="background1"/>
                <w:lang w:eastAsia="en-US"/>
              </w:rPr>
              <w:t>R</w:t>
            </w:r>
            <w:r w:rsidR="00031804">
              <w:rPr>
                <w:rFonts w:asciiTheme="minorHAnsi" w:eastAsiaTheme="minorHAnsi" w:hAnsiTheme="minorHAnsi" w:cstheme="minorBidi"/>
                <w:b/>
                <w:color w:val="FFFFFF" w:themeColor="background1"/>
                <w:lang w:eastAsia="en-US"/>
              </w:rPr>
              <w:t>égionale</w:t>
            </w:r>
          </w:p>
        </w:tc>
        <w:tc>
          <w:tcPr>
            <w:tcW w:w="1134" w:type="dxa"/>
            <w:shd w:val="clear" w:color="auto" w:fill="7F7F7F" w:themeFill="text1" w:themeFillTint="80"/>
            <w:vAlign w:val="center"/>
          </w:tcPr>
          <w:p w14:paraId="2A862AD1" w14:textId="75D96539" w:rsidR="00F76C44" w:rsidRPr="00AD3D49" w:rsidRDefault="00C62B0F" w:rsidP="00AD3D49">
            <w:pPr>
              <w:pStyle w:val="NormalWeb"/>
              <w:spacing w:before="0" w:beforeAutospacing="0" w:after="0" w:afterAutospacing="0"/>
              <w:jc w:val="center"/>
              <w:rPr>
                <w:rFonts w:asciiTheme="minorHAnsi" w:eastAsiaTheme="minorHAnsi" w:hAnsiTheme="minorHAnsi" w:cstheme="minorBidi"/>
                <w:b/>
                <w:color w:val="FFFFFF" w:themeColor="background1"/>
                <w:lang w:eastAsia="en-US"/>
              </w:rPr>
            </w:pPr>
            <w:r>
              <w:rPr>
                <w:rFonts w:asciiTheme="minorHAnsi" w:eastAsiaTheme="minorHAnsi" w:hAnsiTheme="minorHAnsi" w:cstheme="minorBidi"/>
                <w:b/>
                <w:color w:val="FFFFFF" w:themeColor="background1"/>
                <w:lang w:eastAsia="en-US"/>
              </w:rPr>
              <w:t>D</w:t>
            </w:r>
            <w:r w:rsidR="00031804">
              <w:rPr>
                <w:rFonts w:asciiTheme="minorHAnsi" w:eastAsiaTheme="minorHAnsi" w:hAnsiTheme="minorHAnsi" w:cstheme="minorBidi"/>
                <w:b/>
                <w:color w:val="FFFFFF" w:themeColor="background1"/>
                <w:lang w:eastAsia="en-US"/>
              </w:rPr>
              <w:t>épartementale</w:t>
            </w:r>
          </w:p>
        </w:tc>
        <w:tc>
          <w:tcPr>
            <w:tcW w:w="1134" w:type="dxa"/>
            <w:shd w:val="clear" w:color="auto" w:fill="7F7F7F" w:themeFill="text1" w:themeFillTint="80"/>
            <w:vAlign w:val="center"/>
          </w:tcPr>
          <w:p w14:paraId="782550B1" w14:textId="04D78161" w:rsidR="00F76C44" w:rsidRPr="00AD3D49" w:rsidRDefault="00C62B0F" w:rsidP="00AD3D49">
            <w:pPr>
              <w:pStyle w:val="NormalWeb"/>
              <w:spacing w:before="0" w:beforeAutospacing="0" w:after="0" w:afterAutospacing="0"/>
              <w:jc w:val="center"/>
              <w:rPr>
                <w:rFonts w:asciiTheme="minorHAnsi" w:eastAsiaTheme="minorHAnsi" w:hAnsiTheme="minorHAnsi" w:cstheme="minorBidi"/>
                <w:b/>
                <w:color w:val="FFFFFF" w:themeColor="background1"/>
                <w:lang w:eastAsia="en-US"/>
              </w:rPr>
            </w:pPr>
            <w:r>
              <w:rPr>
                <w:rFonts w:asciiTheme="minorHAnsi" w:eastAsiaTheme="minorHAnsi" w:hAnsiTheme="minorHAnsi" w:cstheme="minorBidi"/>
                <w:b/>
                <w:color w:val="FFFFFF" w:themeColor="background1"/>
                <w:lang w:eastAsia="en-US"/>
              </w:rPr>
              <w:t>C</w:t>
            </w:r>
            <w:r w:rsidR="00031804">
              <w:rPr>
                <w:rFonts w:asciiTheme="minorHAnsi" w:eastAsiaTheme="minorHAnsi" w:hAnsiTheme="minorHAnsi" w:cstheme="minorBidi"/>
                <w:b/>
                <w:color w:val="FFFFFF" w:themeColor="background1"/>
                <w:lang w:eastAsia="en-US"/>
              </w:rPr>
              <w:t>ommunale</w:t>
            </w:r>
          </w:p>
        </w:tc>
      </w:tr>
      <w:tr w:rsidR="00F76C44" w14:paraId="54EC1A22" w14:textId="77777777" w:rsidTr="00AD3D49">
        <w:trPr>
          <w:tblHeader/>
        </w:trPr>
        <w:tc>
          <w:tcPr>
            <w:tcW w:w="3969" w:type="dxa"/>
            <w:shd w:val="clear" w:color="auto" w:fill="auto"/>
            <w:vAlign w:val="center"/>
          </w:tcPr>
          <w:p w14:paraId="63C4F256" w14:textId="67991139" w:rsidR="00F76C44" w:rsidRPr="00F76C44" w:rsidRDefault="00F76C44" w:rsidP="002D4A1F">
            <w:pPr>
              <w:pStyle w:val="NormalWeb"/>
              <w:spacing w:before="0" w:beforeAutospacing="0" w:after="0" w:afterAutospacing="0"/>
              <w:rPr>
                <w:rFonts w:asciiTheme="minorHAnsi" w:eastAsiaTheme="minorHAnsi" w:hAnsiTheme="minorHAnsi" w:cstheme="minorBidi"/>
                <w:lang w:eastAsia="en-US"/>
              </w:rPr>
            </w:pPr>
            <w:r w:rsidRPr="00F76C44">
              <w:rPr>
                <w:rFonts w:asciiTheme="minorHAnsi" w:eastAsiaTheme="minorHAnsi" w:hAnsiTheme="minorHAnsi" w:cstheme="minorBidi"/>
                <w:lang w:eastAsia="en-US"/>
              </w:rPr>
              <w:t>Homicides (y compris coups et blessures volontaires suivis de mort)</w:t>
            </w:r>
          </w:p>
        </w:tc>
        <w:tc>
          <w:tcPr>
            <w:tcW w:w="1701" w:type="dxa"/>
            <w:shd w:val="clear" w:color="auto" w:fill="auto"/>
            <w:vAlign w:val="center"/>
          </w:tcPr>
          <w:p w14:paraId="1591B180" w14:textId="2227EA7A" w:rsidR="00F76C44" w:rsidRPr="00F76C44" w:rsidRDefault="00440D85"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Victime</w:t>
            </w:r>
          </w:p>
        </w:tc>
        <w:tc>
          <w:tcPr>
            <w:tcW w:w="1134" w:type="dxa"/>
            <w:shd w:val="clear" w:color="auto" w:fill="auto"/>
            <w:vAlign w:val="center"/>
          </w:tcPr>
          <w:p w14:paraId="11533054" w14:textId="4EC66D0E"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auto"/>
            <w:vAlign w:val="center"/>
          </w:tcPr>
          <w:p w14:paraId="3F71BC2A" w14:textId="2D529717"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E7E6E6" w:themeFill="background2"/>
            <w:vAlign w:val="center"/>
          </w:tcPr>
          <w:p w14:paraId="094C7333" w14:textId="77777777" w:rsidR="00F76C44" w:rsidRPr="00F76C44" w:rsidRDefault="00F76C44" w:rsidP="00AD3D49">
            <w:pPr>
              <w:pStyle w:val="NormalWeb"/>
              <w:spacing w:before="0" w:beforeAutospacing="0" w:after="0" w:afterAutospacing="0"/>
              <w:jc w:val="center"/>
              <w:rPr>
                <w:rFonts w:asciiTheme="minorHAnsi" w:eastAsiaTheme="minorHAnsi" w:hAnsiTheme="minorHAnsi" w:cstheme="minorBidi"/>
                <w:lang w:eastAsia="en-US"/>
              </w:rPr>
            </w:pPr>
          </w:p>
        </w:tc>
      </w:tr>
      <w:tr w:rsidR="00F76C44" w14:paraId="3BF5325B" w14:textId="77777777" w:rsidTr="00AD3D49">
        <w:trPr>
          <w:tblHeader/>
        </w:trPr>
        <w:tc>
          <w:tcPr>
            <w:tcW w:w="3969" w:type="dxa"/>
            <w:shd w:val="clear" w:color="auto" w:fill="auto"/>
            <w:vAlign w:val="center"/>
          </w:tcPr>
          <w:p w14:paraId="00B36372" w14:textId="1754428D" w:rsidR="00F76C44" w:rsidRPr="00F76C44" w:rsidRDefault="00F76C44" w:rsidP="002D4A1F">
            <w:pPr>
              <w:pStyle w:val="NormalWeb"/>
              <w:spacing w:before="0" w:beforeAutospacing="0" w:after="0" w:afterAutospacing="0"/>
              <w:rPr>
                <w:rFonts w:asciiTheme="minorHAnsi" w:eastAsiaTheme="minorHAnsi" w:hAnsiTheme="minorHAnsi" w:cstheme="minorBidi"/>
                <w:lang w:eastAsia="en-US"/>
              </w:rPr>
            </w:pPr>
            <w:r w:rsidRPr="00F76C44">
              <w:rPr>
                <w:rFonts w:asciiTheme="minorHAnsi" w:eastAsiaTheme="minorHAnsi" w:hAnsiTheme="minorHAnsi" w:cstheme="minorBidi"/>
                <w:lang w:eastAsia="en-US"/>
              </w:rPr>
              <w:t>Tentatives d'homicides</w:t>
            </w:r>
          </w:p>
        </w:tc>
        <w:tc>
          <w:tcPr>
            <w:tcW w:w="1701" w:type="dxa"/>
            <w:shd w:val="clear" w:color="auto" w:fill="auto"/>
            <w:vAlign w:val="center"/>
          </w:tcPr>
          <w:p w14:paraId="7CFABEC3" w14:textId="56ED3252" w:rsidR="00F76C44" w:rsidRPr="00F76C44" w:rsidRDefault="00440D85"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Victime</w:t>
            </w:r>
          </w:p>
        </w:tc>
        <w:tc>
          <w:tcPr>
            <w:tcW w:w="1134" w:type="dxa"/>
            <w:shd w:val="clear" w:color="auto" w:fill="auto"/>
            <w:vAlign w:val="center"/>
          </w:tcPr>
          <w:p w14:paraId="3A754171" w14:textId="547B2180"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auto"/>
            <w:vAlign w:val="center"/>
          </w:tcPr>
          <w:p w14:paraId="3F5C6225" w14:textId="12C104AB"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E7E6E6" w:themeFill="background2"/>
            <w:vAlign w:val="center"/>
          </w:tcPr>
          <w:p w14:paraId="562DF3F7" w14:textId="77777777" w:rsidR="00F76C44" w:rsidRPr="00F76C44" w:rsidRDefault="00F76C44" w:rsidP="00AD3D49">
            <w:pPr>
              <w:pStyle w:val="NormalWeb"/>
              <w:spacing w:before="0" w:beforeAutospacing="0" w:after="0" w:afterAutospacing="0"/>
              <w:jc w:val="center"/>
              <w:rPr>
                <w:rFonts w:asciiTheme="minorHAnsi" w:eastAsiaTheme="minorHAnsi" w:hAnsiTheme="minorHAnsi" w:cstheme="minorBidi"/>
                <w:lang w:eastAsia="en-US"/>
              </w:rPr>
            </w:pPr>
          </w:p>
        </w:tc>
      </w:tr>
      <w:tr w:rsidR="00F76C44" w14:paraId="033E56ED" w14:textId="77777777" w:rsidTr="00AD3D49">
        <w:trPr>
          <w:tblHeader/>
        </w:trPr>
        <w:tc>
          <w:tcPr>
            <w:tcW w:w="3969" w:type="dxa"/>
            <w:shd w:val="clear" w:color="auto" w:fill="auto"/>
            <w:vAlign w:val="center"/>
          </w:tcPr>
          <w:p w14:paraId="4899AEEA" w14:textId="17A90670" w:rsidR="00F76C44" w:rsidRPr="00F76C44" w:rsidRDefault="00FD2A7D" w:rsidP="00AD3D49">
            <w:pPr>
              <w:pStyle w:val="NormalWeb"/>
              <w:spacing w:after="0"/>
              <w:rPr>
                <w:rFonts w:asciiTheme="minorHAnsi" w:eastAsiaTheme="minorHAnsi" w:hAnsiTheme="minorHAnsi" w:cstheme="minorBidi"/>
                <w:lang w:eastAsia="en-US"/>
              </w:rPr>
            </w:pPr>
            <w:r w:rsidRPr="00FD2A7D">
              <w:rPr>
                <w:rFonts w:asciiTheme="minorHAnsi" w:eastAsiaTheme="minorHAnsi" w:hAnsiTheme="minorHAnsi" w:cstheme="minorBidi"/>
                <w:lang w:eastAsia="en-US"/>
              </w:rPr>
              <w:t>Coups et blessures volontaires</w:t>
            </w:r>
            <w:r>
              <w:rPr>
                <w:rFonts w:asciiTheme="minorHAnsi" w:eastAsiaTheme="minorHAnsi" w:hAnsiTheme="minorHAnsi" w:cstheme="minorBidi"/>
                <w:lang w:eastAsia="en-US"/>
              </w:rPr>
              <w:t xml:space="preserve"> </w:t>
            </w:r>
            <w:r w:rsidRPr="00FD2A7D">
              <w:rPr>
                <w:rFonts w:asciiTheme="minorHAnsi" w:eastAsiaTheme="minorHAnsi" w:hAnsiTheme="minorHAnsi" w:cstheme="minorBidi"/>
                <w:lang w:eastAsia="en-US"/>
              </w:rPr>
              <w:t>sur personnes de 15 ans ou plus</w:t>
            </w:r>
          </w:p>
        </w:tc>
        <w:tc>
          <w:tcPr>
            <w:tcW w:w="1701" w:type="dxa"/>
            <w:shd w:val="clear" w:color="auto" w:fill="auto"/>
            <w:vAlign w:val="center"/>
          </w:tcPr>
          <w:p w14:paraId="4AD82963" w14:textId="72737C4C" w:rsidR="00F76C44" w:rsidRPr="00F76C44" w:rsidRDefault="00440D85"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Victime</w:t>
            </w:r>
          </w:p>
        </w:tc>
        <w:tc>
          <w:tcPr>
            <w:tcW w:w="1134" w:type="dxa"/>
            <w:shd w:val="clear" w:color="auto" w:fill="auto"/>
            <w:vAlign w:val="center"/>
          </w:tcPr>
          <w:p w14:paraId="61B8A7C2" w14:textId="11DCCD72"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auto"/>
            <w:vAlign w:val="center"/>
          </w:tcPr>
          <w:p w14:paraId="0408B3CB" w14:textId="5EC2402A"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auto"/>
            <w:vAlign w:val="center"/>
          </w:tcPr>
          <w:p w14:paraId="5CE61EF4" w14:textId="5D247C79"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r>
      <w:tr w:rsidR="00F76C44" w14:paraId="45EC9E21" w14:textId="77777777" w:rsidTr="00AD3D49">
        <w:trPr>
          <w:tblHeader/>
        </w:trPr>
        <w:tc>
          <w:tcPr>
            <w:tcW w:w="3969" w:type="dxa"/>
            <w:shd w:val="clear" w:color="auto" w:fill="auto"/>
            <w:vAlign w:val="center"/>
          </w:tcPr>
          <w:p w14:paraId="0999853D" w14:textId="0CEA2FD0" w:rsidR="00F76C44" w:rsidRPr="00F76C44" w:rsidRDefault="00036447" w:rsidP="002D4A1F">
            <w:pPr>
              <w:pStyle w:val="NormalWeb"/>
              <w:spacing w:before="0" w:beforeAutospacing="0" w:after="0" w:afterAutospacing="0"/>
              <w:rPr>
                <w:rFonts w:asciiTheme="minorHAnsi" w:eastAsiaTheme="minorHAnsi" w:hAnsiTheme="minorHAnsi" w:cstheme="minorBidi"/>
                <w:lang w:eastAsia="en-US"/>
              </w:rPr>
            </w:pPr>
            <w:r>
              <w:rPr>
                <w:rFonts w:asciiTheme="minorHAnsi" w:eastAsiaTheme="minorHAnsi" w:hAnsiTheme="minorHAnsi" w:cstheme="minorBidi"/>
                <w:lang w:eastAsia="en-US"/>
              </w:rPr>
              <w:t xml:space="preserve">  - dont v</w:t>
            </w:r>
            <w:r w:rsidRPr="00036447">
              <w:rPr>
                <w:rFonts w:asciiTheme="minorHAnsi" w:eastAsiaTheme="minorHAnsi" w:hAnsiTheme="minorHAnsi" w:cstheme="minorBidi"/>
                <w:lang w:eastAsia="en-US"/>
              </w:rPr>
              <w:t>iolences intrafamiliales</w:t>
            </w:r>
          </w:p>
        </w:tc>
        <w:tc>
          <w:tcPr>
            <w:tcW w:w="1701" w:type="dxa"/>
            <w:shd w:val="clear" w:color="auto" w:fill="auto"/>
            <w:vAlign w:val="center"/>
          </w:tcPr>
          <w:p w14:paraId="61991F0C" w14:textId="2EF892ED" w:rsidR="00440D85" w:rsidRPr="00F76C44" w:rsidRDefault="00440D85"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Victime</w:t>
            </w:r>
          </w:p>
        </w:tc>
        <w:tc>
          <w:tcPr>
            <w:tcW w:w="1134" w:type="dxa"/>
            <w:shd w:val="clear" w:color="auto" w:fill="auto"/>
            <w:vAlign w:val="center"/>
          </w:tcPr>
          <w:p w14:paraId="4A48EE6F" w14:textId="5BC81967"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auto"/>
            <w:vAlign w:val="center"/>
          </w:tcPr>
          <w:p w14:paraId="6AEFF622" w14:textId="26837064"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auto"/>
            <w:vAlign w:val="center"/>
          </w:tcPr>
          <w:p w14:paraId="12C26014" w14:textId="1B7B7C5B"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r>
      <w:tr w:rsidR="00A872EA" w14:paraId="702FD446" w14:textId="77777777" w:rsidTr="00AD3D49">
        <w:trPr>
          <w:tblHeader/>
        </w:trPr>
        <w:tc>
          <w:tcPr>
            <w:tcW w:w="3969" w:type="dxa"/>
            <w:shd w:val="clear" w:color="auto" w:fill="auto"/>
            <w:vAlign w:val="center"/>
          </w:tcPr>
          <w:p w14:paraId="217B410A" w14:textId="5E434A46" w:rsidR="00F76C44" w:rsidRPr="00F76C44" w:rsidRDefault="00036447" w:rsidP="002D4A1F">
            <w:pPr>
              <w:pStyle w:val="NormalWeb"/>
              <w:spacing w:before="0" w:beforeAutospacing="0" w:after="0" w:afterAutospacing="0"/>
              <w:rPr>
                <w:rFonts w:asciiTheme="minorHAnsi" w:eastAsiaTheme="minorHAnsi" w:hAnsiTheme="minorHAnsi" w:cstheme="minorBidi"/>
                <w:lang w:eastAsia="en-US"/>
              </w:rPr>
            </w:pPr>
            <w:r>
              <w:rPr>
                <w:rFonts w:asciiTheme="minorHAnsi" w:eastAsiaTheme="minorHAnsi" w:hAnsiTheme="minorHAnsi" w:cstheme="minorBidi"/>
                <w:lang w:eastAsia="en-US"/>
              </w:rPr>
              <w:t xml:space="preserve">  - dont a</w:t>
            </w:r>
            <w:r w:rsidRPr="00036447">
              <w:rPr>
                <w:rFonts w:asciiTheme="minorHAnsi" w:eastAsiaTheme="minorHAnsi" w:hAnsiTheme="minorHAnsi" w:cstheme="minorBidi"/>
                <w:lang w:eastAsia="en-US"/>
              </w:rPr>
              <w:t>utres coups et blessures volontaires</w:t>
            </w:r>
          </w:p>
        </w:tc>
        <w:tc>
          <w:tcPr>
            <w:tcW w:w="1701" w:type="dxa"/>
            <w:shd w:val="clear" w:color="auto" w:fill="auto"/>
            <w:vAlign w:val="center"/>
          </w:tcPr>
          <w:p w14:paraId="107AE970" w14:textId="2CBE36ED" w:rsidR="00F76C44" w:rsidRPr="00F76C44" w:rsidRDefault="00440D85"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Victime</w:t>
            </w:r>
          </w:p>
        </w:tc>
        <w:tc>
          <w:tcPr>
            <w:tcW w:w="1134" w:type="dxa"/>
            <w:shd w:val="clear" w:color="auto" w:fill="auto"/>
            <w:vAlign w:val="center"/>
          </w:tcPr>
          <w:p w14:paraId="565A2821" w14:textId="6B5E623B"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auto"/>
            <w:vAlign w:val="center"/>
          </w:tcPr>
          <w:p w14:paraId="5BC26DE7" w14:textId="1EEB73F6"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auto"/>
            <w:vAlign w:val="center"/>
          </w:tcPr>
          <w:p w14:paraId="4CFF10AE" w14:textId="49CC6807"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r>
      <w:tr w:rsidR="00F76C44" w14:paraId="0DFCDAD1" w14:textId="77777777" w:rsidTr="00AD3D49">
        <w:trPr>
          <w:tblHeader/>
        </w:trPr>
        <w:tc>
          <w:tcPr>
            <w:tcW w:w="3969" w:type="dxa"/>
            <w:shd w:val="clear" w:color="auto" w:fill="auto"/>
            <w:vAlign w:val="center"/>
          </w:tcPr>
          <w:p w14:paraId="75EF854D" w14:textId="573CA7A9" w:rsidR="00F76C44" w:rsidRPr="00F76C44" w:rsidRDefault="00AA0943" w:rsidP="002D4A1F">
            <w:pPr>
              <w:pStyle w:val="NormalWeb"/>
              <w:spacing w:before="0" w:beforeAutospacing="0" w:after="0" w:afterAutospacing="0"/>
              <w:rPr>
                <w:rFonts w:asciiTheme="minorHAnsi" w:eastAsiaTheme="minorHAnsi" w:hAnsiTheme="minorHAnsi" w:cstheme="minorBidi"/>
                <w:lang w:eastAsia="en-US"/>
              </w:rPr>
            </w:pPr>
            <w:r w:rsidRPr="00AA0943">
              <w:rPr>
                <w:rFonts w:asciiTheme="minorHAnsi" w:eastAsiaTheme="minorHAnsi" w:hAnsiTheme="minorHAnsi" w:cstheme="minorBidi"/>
                <w:lang w:eastAsia="en-US"/>
              </w:rPr>
              <w:t>Violences sexuelles</w:t>
            </w:r>
          </w:p>
        </w:tc>
        <w:tc>
          <w:tcPr>
            <w:tcW w:w="1701" w:type="dxa"/>
            <w:shd w:val="clear" w:color="auto" w:fill="auto"/>
            <w:vAlign w:val="center"/>
          </w:tcPr>
          <w:p w14:paraId="00D9CF31" w14:textId="3EA34F95" w:rsidR="00F76C44" w:rsidRPr="00F76C44" w:rsidRDefault="005F3947"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Victime</w:t>
            </w:r>
          </w:p>
        </w:tc>
        <w:tc>
          <w:tcPr>
            <w:tcW w:w="1134" w:type="dxa"/>
            <w:shd w:val="clear" w:color="auto" w:fill="auto"/>
            <w:vAlign w:val="center"/>
          </w:tcPr>
          <w:p w14:paraId="3EEE33C9" w14:textId="41BFAF35"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auto"/>
            <w:vAlign w:val="center"/>
          </w:tcPr>
          <w:p w14:paraId="53458D92" w14:textId="71B155D9"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auto"/>
            <w:vAlign w:val="center"/>
          </w:tcPr>
          <w:p w14:paraId="2E550064" w14:textId="3B375E9E"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r>
      <w:tr w:rsidR="00F76C44" w14:paraId="4EE74BE4" w14:textId="77777777" w:rsidTr="00AD3D49">
        <w:trPr>
          <w:tblHeader/>
        </w:trPr>
        <w:tc>
          <w:tcPr>
            <w:tcW w:w="3969" w:type="dxa"/>
            <w:shd w:val="clear" w:color="auto" w:fill="auto"/>
            <w:vAlign w:val="center"/>
          </w:tcPr>
          <w:p w14:paraId="38633947" w14:textId="1479AF57" w:rsidR="00F76C44" w:rsidRPr="00F76C44" w:rsidRDefault="00AA0943" w:rsidP="002D4A1F">
            <w:pPr>
              <w:pStyle w:val="NormalWeb"/>
              <w:spacing w:before="0" w:beforeAutospacing="0" w:after="0" w:afterAutospacing="0"/>
              <w:rPr>
                <w:rFonts w:asciiTheme="minorHAnsi" w:eastAsiaTheme="minorHAnsi" w:hAnsiTheme="minorHAnsi" w:cstheme="minorBidi"/>
                <w:lang w:eastAsia="en-US"/>
              </w:rPr>
            </w:pPr>
            <w:r w:rsidRPr="00AA0943">
              <w:rPr>
                <w:rFonts w:asciiTheme="minorHAnsi" w:eastAsiaTheme="minorHAnsi" w:hAnsiTheme="minorHAnsi" w:cstheme="minorBidi"/>
                <w:lang w:eastAsia="en-US"/>
              </w:rPr>
              <w:t>Vols avec armes (armes à feu, armes blanches ou par destination)</w:t>
            </w:r>
          </w:p>
        </w:tc>
        <w:tc>
          <w:tcPr>
            <w:tcW w:w="1701" w:type="dxa"/>
            <w:shd w:val="clear" w:color="auto" w:fill="auto"/>
            <w:vAlign w:val="center"/>
          </w:tcPr>
          <w:p w14:paraId="519918DB" w14:textId="47E99FEE" w:rsidR="00F76C44" w:rsidRPr="00F76C44" w:rsidRDefault="00A872EA"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Infraction</w:t>
            </w:r>
          </w:p>
        </w:tc>
        <w:tc>
          <w:tcPr>
            <w:tcW w:w="1134" w:type="dxa"/>
            <w:shd w:val="clear" w:color="auto" w:fill="auto"/>
            <w:vAlign w:val="center"/>
          </w:tcPr>
          <w:p w14:paraId="795B6F02" w14:textId="5635A5BE"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auto"/>
            <w:vAlign w:val="center"/>
          </w:tcPr>
          <w:p w14:paraId="43BE9DAE" w14:textId="63245BC3"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auto"/>
            <w:vAlign w:val="center"/>
          </w:tcPr>
          <w:p w14:paraId="02B40317" w14:textId="04E13DB5"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r>
      <w:tr w:rsidR="00F76C44" w14:paraId="2EAB2E60" w14:textId="77777777" w:rsidTr="00AD3D49">
        <w:trPr>
          <w:tblHeader/>
        </w:trPr>
        <w:tc>
          <w:tcPr>
            <w:tcW w:w="3969" w:type="dxa"/>
            <w:shd w:val="clear" w:color="auto" w:fill="auto"/>
            <w:vAlign w:val="center"/>
          </w:tcPr>
          <w:p w14:paraId="1A574F10" w14:textId="42F2A0A0" w:rsidR="00F76C44" w:rsidRPr="00F76C44" w:rsidRDefault="005F3947" w:rsidP="002D4A1F">
            <w:pPr>
              <w:pStyle w:val="NormalWeb"/>
              <w:spacing w:before="0" w:beforeAutospacing="0" w:after="0" w:afterAutospacing="0"/>
              <w:rPr>
                <w:rFonts w:asciiTheme="minorHAnsi" w:eastAsiaTheme="minorHAnsi" w:hAnsiTheme="minorHAnsi" w:cstheme="minorBidi"/>
                <w:lang w:eastAsia="en-US"/>
              </w:rPr>
            </w:pPr>
            <w:r w:rsidRPr="005F3947">
              <w:rPr>
                <w:rFonts w:asciiTheme="minorHAnsi" w:eastAsiaTheme="minorHAnsi" w:hAnsiTheme="minorHAnsi" w:cstheme="minorBidi"/>
                <w:lang w:eastAsia="en-US"/>
              </w:rPr>
              <w:t>Vols violents sans arme</w:t>
            </w:r>
          </w:p>
        </w:tc>
        <w:tc>
          <w:tcPr>
            <w:tcW w:w="1701" w:type="dxa"/>
            <w:shd w:val="clear" w:color="auto" w:fill="auto"/>
            <w:vAlign w:val="center"/>
          </w:tcPr>
          <w:p w14:paraId="2280CC24" w14:textId="7798C007" w:rsidR="00F76C44" w:rsidRPr="00F76C44" w:rsidRDefault="00A872EA"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Infraction</w:t>
            </w:r>
          </w:p>
        </w:tc>
        <w:tc>
          <w:tcPr>
            <w:tcW w:w="1134" w:type="dxa"/>
            <w:shd w:val="clear" w:color="auto" w:fill="auto"/>
            <w:vAlign w:val="center"/>
          </w:tcPr>
          <w:p w14:paraId="422444D0" w14:textId="5008F184"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auto"/>
            <w:vAlign w:val="center"/>
          </w:tcPr>
          <w:p w14:paraId="0470C133" w14:textId="0226279A"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auto"/>
            <w:vAlign w:val="center"/>
          </w:tcPr>
          <w:p w14:paraId="74B068A3" w14:textId="0CC9FFD6"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r>
      <w:tr w:rsidR="00F76C44" w14:paraId="7150E414" w14:textId="77777777" w:rsidTr="00AD3D49">
        <w:trPr>
          <w:tblHeader/>
        </w:trPr>
        <w:tc>
          <w:tcPr>
            <w:tcW w:w="3969" w:type="dxa"/>
            <w:shd w:val="clear" w:color="auto" w:fill="auto"/>
            <w:vAlign w:val="center"/>
          </w:tcPr>
          <w:p w14:paraId="781EE7C5" w14:textId="0C78A6D7" w:rsidR="00F76C44" w:rsidRPr="00F76C44" w:rsidRDefault="005F3947" w:rsidP="002D4A1F">
            <w:pPr>
              <w:pStyle w:val="NormalWeb"/>
              <w:spacing w:before="0" w:beforeAutospacing="0" w:after="0" w:afterAutospacing="0"/>
              <w:rPr>
                <w:rFonts w:asciiTheme="minorHAnsi" w:eastAsiaTheme="minorHAnsi" w:hAnsiTheme="minorHAnsi" w:cstheme="minorBidi"/>
                <w:lang w:eastAsia="en-US"/>
              </w:rPr>
            </w:pPr>
            <w:r w:rsidRPr="005F3947">
              <w:rPr>
                <w:rFonts w:asciiTheme="minorHAnsi" w:eastAsiaTheme="minorHAnsi" w:hAnsiTheme="minorHAnsi" w:cstheme="minorBidi"/>
                <w:lang w:eastAsia="en-US"/>
              </w:rPr>
              <w:t>Vols sans violence contre des personnes</w:t>
            </w:r>
          </w:p>
        </w:tc>
        <w:tc>
          <w:tcPr>
            <w:tcW w:w="1701" w:type="dxa"/>
            <w:shd w:val="clear" w:color="auto" w:fill="auto"/>
            <w:vAlign w:val="center"/>
          </w:tcPr>
          <w:p w14:paraId="54AE7B08" w14:textId="40B71BD6" w:rsidR="00F76C44" w:rsidRPr="00F76C44" w:rsidRDefault="00A872EA"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Victime entendue</w:t>
            </w:r>
          </w:p>
        </w:tc>
        <w:tc>
          <w:tcPr>
            <w:tcW w:w="1134" w:type="dxa"/>
            <w:shd w:val="clear" w:color="auto" w:fill="auto"/>
            <w:vAlign w:val="center"/>
          </w:tcPr>
          <w:p w14:paraId="44B2D585" w14:textId="3C6873C3"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auto"/>
            <w:vAlign w:val="center"/>
          </w:tcPr>
          <w:p w14:paraId="1BB63393" w14:textId="0E2DC119"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auto"/>
            <w:vAlign w:val="center"/>
          </w:tcPr>
          <w:p w14:paraId="37E5433A" w14:textId="0C55884B"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r>
      <w:tr w:rsidR="00F76C44" w14:paraId="764E03D8" w14:textId="77777777" w:rsidTr="00AD3D49">
        <w:trPr>
          <w:tblHeader/>
        </w:trPr>
        <w:tc>
          <w:tcPr>
            <w:tcW w:w="3969" w:type="dxa"/>
            <w:shd w:val="clear" w:color="auto" w:fill="auto"/>
            <w:vAlign w:val="center"/>
          </w:tcPr>
          <w:p w14:paraId="474AD591" w14:textId="7A2EC060" w:rsidR="00F76C44" w:rsidRPr="00F76C44" w:rsidRDefault="005211D0" w:rsidP="002D4A1F">
            <w:pPr>
              <w:pStyle w:val="NormalWeb"/>
              <w:spacing w:before="0" w:beforeAutospacing="0" w:after="0" w:afterAutospacing="0"/>
              <w:rPr>
                <w:rFonts w:asciiTheme="minorHAnsi" w:eastAsiaTheme="minorHAnsi" w:hAnsiTheme="minorHAnsi" w:cstheme="minorBidi"/>
                <w:lang w:eastAsia="en-US"/>
              </w:rPr>
            </w:pPr>
            <w:r w:rsidRPr="005211D0">
              <w:rPr>
                <w:rFonts w:asciiTheme="minorHAnsi" w:eastAsiaTheme="minorHAnsi" w:hAnsiTheme="minorHAnsi" w:cstheme="minorBidi"/>
                <w:lang w:eastAsia="en-US"/>
              </w:rPr>
              <w:t>Cambriolages de logements</w:t>
            </w:r>
          </w:p>
        </w:tc>
        <w:tc>
          <w:tcPr>
            <w:tcW w:w="1701" w:type="dxa"/>
            <w:shd w:val="clear" w:color="auto" w:fill="auto"/>
            <w:vAlign w:val="center"/>
          </w:tcPr>
          <w:p w14:paraId="1CEFF0B9" w14:textId="2FD6A006" w:rsidR="00F76C44" w:rsidRPr="00F76C44" w:rsidRDefault="005211D0"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Infraction</w:t>
            </w:r>
          </w:p>
        </w:tc>
        <w:tc>
          <w:tcPr>
            <w:tcW w:w="1134" w:type="dxa"/>
            <w:shd w:val="clear" w:color="auto" w:fill="auto"/>
            <w:vAlign w:val="center"/>
          </w:tcPr>
          <w:p w14:paraId="3BF2A2E7" w14:textId="485A5F2A"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auto"/>
            <w:vAlign w:val="center"/>
          </w:tcPr>
          <w:p w14:paraId="66604C83" w14:textId="4E01B7C2"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auto"/>
            <w:vAlign w:val="center"/>
          </w:tcPr>
          <w:p w14:paraId="17641A34" w14:textId="32F35DBA"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r>
      <w:tr w:rsidR="00F76C44" w14:paraId="40738C1B" w14:textId="77777777" w:rsidTr="00AD3D49">
        <w:trPr>
          <w:tblHeader/>
        </w:trPr>
        <w:tc>
          <w:tcPr>
            <w:tcW w:w="3969" w:type="dxa"/>
            <w:shd w:val="clear" w:color="auto" w:fill="auto"/>
            <w:vAlign w:val="center"/>
          </w:tcPr>
          <w:p w14:paraId="29F67632" w14:textId="0A4766DB" w:rsidR="00F76C44" w:rsidRPr="00F76C44" w:rsidRDefault="00827580" w:rsidP="002D4A1F">
            <w:pPr>
              <w:pStyle w:val="NormalWeb"/>
              <w:spacing w:before="0" w:beforeAutospacing="0" w:after="0" w:afterAutospacing="0"/>
              <w:rPr>
                <w:rFonts w:asciiTheme="minorHAnsi" w:eastAsiaTheme="minorHAnsi" w:hAnsiTheme="minorHAnsi" w:cstheme="minorBidi"/>
                <w:lang w:eastAsia="en-US"/>
              </w:rPr>
            </w:pPr>
            <w:r w:rsidRPr="00827580">
              <w:rPr>
                <w:rFonts w:asciiTheme="minorHAnsi" w:eastAsiaTheme="minorHAnsi" w:hAnsiTheme="minorHAnsi" w:cstheme="minorBidi"/>
                <w:lang w:eastAsia="en-US"/>
              </w:rPr>
              <w:t>Vols de véhicules</w:t>
            </w:r>
          </w:p>
        </w:tc>
        <w:tc>
          <w:tcPr>
            <w:tcW w:w="1701" w:type="dxa"/>
            <w:shd w:val="clear" w:color="auto" w:fill="auto"/>
            <w:vAlign w:val="center"/>
          </w:tcPr>
          <w:p w14:paraId="6F213866" w14:textId="2E726C1D" w:rsidR="00F76C44" w:rsidRPr="00F76C44" w:rsidRDefault="00D35F7C"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Véhicule</w:t>
            </w:r>
          </w:p>
        </w:tc>
        <w:tc>
          <w:tcPr>
            <w:tcW w:w="1134" w:type="dxa"/>
            <w:shd w:val="clear" w:color="auto" w:fill="auto"/>
            <w:vAlign w:val="center"/>
          </w:tcPr>
          <w:p w14:paraId="687D91E5" w14:textId="3D5F70A7"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auto"/>
            <w:vAlign w:val="center"/>
          </w:tcPr>
          <w:p w14:paraId="3452ED50" w14:textId="11718678"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auto"/>
            <w:vAlign w:val="center"/>
          </w:tcPr>
          <w:p w14:paraId="6C66D7D9" w14:textId="4B406E3A"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r>
      <w:tr w:rsidR="00F76C44" w14:paraId="1EA892F3" w14:textId="77777777" w:rsidTr="00AD3D49">
        <w:trPr>
          <w:tblHeader/>
        </w:trPr>
        <w:tc>
          <w:tcPr>
            <w:tcW w:w="3969" w:type="dxa"/>
            <w:shd w:val="clear" w:color="auto" w:fill="auto"/>
            <w:vAlign w:val="center"/>
          </w:tcPr>
          <w:p w14:paraId="2BD2AD6B" w14:textId="5A1D8230" w:rsidR="00F76C44" w:rsidRPr="00F76C44" w:rsidRDefault="00827580" w:rsidP="002D4A1F">
            <w:pPr>
              <w:pStyle w:val="NormalWeb"/>
              <w:spacing w:before="0" w:beforeAutospacing="0" w:after="0" w:afterAutospacing="0"/>
              <w:rPr>
                <w:rFonts w:asciiTheme="minorHAnsi" w:eastAsiaTheme="minorHAnsi" w:hAnsiTheme="minorHAnsi" w:cstheme="minorBidi"/>
                <w:lang w:eastAsia="en-US"/>
              </w:rPr>
            </w:pPr>
            <w:r w:rsidRPr="00827580">
              <w:rPr>
                <w:rFonts w:asciiTheme="minorHAnsi" w:eastAsiaTheme="minorHAnsi" w:hAnsiTheme="minorHAnsi" w:cstheme="minorBidi"/>
                <w:lang w:eastAsia="en-US"/>
              </w:rPr>
              <w:t>Vols dans les véhicules</w:t>
            </w:r>
          </w:p>
        </w:tc>
        <w:tc>
          <w:tcPr>
            <w:tcW w:w="1701" w:type="dxa"/>
            <w:shd w:val="clear" w:color="auto" w:fill="auto"/>
            <w:vAlign w:val="center"/>
          </w:tcPr>
          <w:p w14:paraId="4C53B1E5" w14:textId="5AE90143" w:rsidR="00F76C44" w:rsidRPr="00F76C44" w:rsidRDefault="00D35F7C"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Véhicule</w:t>
            </w:r>
          </w:p>
        </w:tc>
        <w:tc>
          <w:tcPr>
            <w:tcW w:w="1134" w:type="dxa"/>
            <w:shd w:val="clear" w:color="auto" w:fill="auto"/>
            <w:vAlign w:val="center"/>
          </w:tcPr>
          <w:p w14:paraId="41DC77BB" w14:textId="01D18F99"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auto"/>
            <w:vAlign w:val="center"/>
          </w:tcPr>
          <w:p w14:paraId="41EA1D18" w14:textId="5F7EA2F8"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auto"/>
            <w:vAlign w:val="center"/>
          </w:tcPr>
          <w:p w14:paraId="4D6B0B98" w14:textId="183EDB64"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r>
      <w:tr w:rsidR="00F76C44" w14:paraId="24F27EAF" w14:textId="77777777" w:rsidTr="00AD3D49">
        <w:trPr>
          <w:tblHeader/>
        </w:trPr>
        <w:tc>
          <w:tcPr>
            <w:tcW w:w="3969" w:type="dxa"/>
            <w:shd w:val="clear" w:color="auto" w:fill="auto"/>
            <w:vAlign w:val="center"/>
          </w:tcPr>
          <w:p w14:paraId="441A27C1" w14:textId="270432B4" w:rsidR="00F76C44" w:rsidRPr="00F76C44" w:rsidRDefault="00827580" w:rsidP="002D4A1F">
            <w:pPr>
              <w:pStyle w:val="NormalWeb"/>
              <w:spacing w:before="0" w:beforeAutospacing="0" w:after="0" w:afterAutospacing="0"/>
              <w:rPr>
                <w:rFonts w:asciiTheme="minorHAnsi" w:eastAsiaTheme="minorHAnsi" w:hAnsiTheme="minorHAnsi" w:cstheme="minorBidi"/>
                <w:lang w:eastAsia="en-US"/>
              </w:rPr>
            </w:pPr>
            <w:r w:rsidRPr="00827580">
              <w:rPr>
                <w:rFonts w:asciiTheme="minorHAnsi" w:eastAsiaTheme="minorHAnsi" w:hAnsiTheme="minorHAnsi" w:cstheme="minorBidi"/>
                <w:lang w:eastAsia="en-US"/>
              </w:rPr>
              <w:t>Vols d'accessoires sur véhicules</w:t>
            </w:r>
          </w:p>
        </w:tc>
        <w:tc>
          <w:tcPr>
            <w:tcW w:w="1701" w:type="dxa"/>
            <w:shd w:val="clear" w:color="auto" w:fill="auto"/>
            <w:vAlign w:val="center"/>
          </w:tcPr>
          <w:p w14:paraId="3A73E8C9" w14:textId="623EB8C5" w:rsidR="00F76C44" w:rsidRPr="00F76C44" w:rsidRDefault="00D35F7C"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Véhicule</w:t>
            </w:r>
          </w:p>
        </w:tc>
        <w:tc>
          <w:tcPr>
            <w:tcW w:w="1134" w:type="dxa"/>
            <w:shd w:val="clear" w:color="auto" w:fill="auto"/>
            <w:vAlign w:val="center"/>
          </w:tcPr>
          <w:p w14:paraId="0BB6406A" w14:textId="3E7346E6"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auto"/>
            <w:vAlign w:val="center"/>
          </w:tcPr>
          <w:p w14:paraId="69D1CA5E" w14:textId="6773A88A"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auto"/>
            <w:vAlign w:val="center"/>
          </w:tcPr>
          <w:p w14:paraId="304D6A44" w14:textId="5B159ECE"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r>
      <w:tr w:rsidR="00F76C44" w14:paraId="2FEBD552" w14:textId="77777777" w:rsidTr="00AD3D49">
        <w:trPr>
          <w:tblHeader/>
        </w:trPr>
        <w:tc>
          <w:tcPr>
            <w:tcW w:w="3969" w:type="dxa"/>
            <w:shd w:val="clear" w:color="auto" w:fill="auto"/>
            <w:vAlign w:val="center"/>
          </w:tcPr>
          <w:p w14:paraId="05F2BA19" w14:textId="450C7DAE" w:rsidR="00F76C44" w:rsidRPr="00F76C44" w:rsidRDefault="00A86D5A" w:rsidP="002D4A1F">
            <w:pPr>
              <w:pStyle w:val="NormalWeb"/>
              <w:spacing w:before="0" w:beforeAutospacing="0" w:after="0" w:afterAutospacing="0"/>
              <w:rPr>
                <w:rFonts w:asciiTheme="minorHAnsi" w:eastAsiaTheme="minorHAnsi" w:hAnsiTheme="minorHAnsi" w:cstheme="minorBidi"/>
                <w:lang w:eastAsia="en-US"/>
              </w:rPr>
            </w:pPr>
            <w:r w:rsidRPr="00A86D5A">
              <w:rPr>
                <w:rFonts w:asciiTheme="minorHAnsi" w:eastAsiaTheme="minorHAnsi" w:hAnsiTheme="minorHAnsi" w:cstheme="minorBidi"/>
                <w:lang w:eastAsia="en-US"/>
              </w:rPr>
              <w:t>Destructions et dégradations volontaires</w:t>
            </w:r>
          </w:p>
        </w:tc>
        <w:tc>
          <w:tcPr>
            <w:tcW w:w="1701" w:type="dxa"/>
            <w:shd w:val="clear" w:color="auto" w:fill="auto"/>
            <w:vAlign w:val="center"/>
          </w:tcPr>
          <w:p w14:paraId="4BD9FF3D" w14:textId="42DDCA23" w:rsidR="00F76C44" w:rsidRPr="00F76C44" w:rsidRDefault="00A86D5A"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Infraction</w:t>
            </w:r>
          </w:p>
        </w:tc>
        <w:tc>
          <w:tcPr>
            <w:tcW w:w="1134" w:type="dxa"/>
            <w:shd w:val="clear" w:color="auto" w:fill="auto"/>
            <w:vAlign w:val="center"/>
          </w:tcPr>
          <w:p w14:paraId="05219CCF" w14:textId="677A3B85"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auto"/>
            <w:vAlign w:val="center"/>
          </w:tcPr>
          <w:p w14:paraId="758955E9" w14:textId="574A52BA"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auto"/>
            <w:vAlign w:val="center"/>
          </w:tcPr>
          <w:p w14:paraId="30B1CBFF" w14:textId="59549B9C"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r>
      <w:tr w:rsidR="00F76C44" w14:paraId="7521F734" w14:textId="77777777" w:rsidTr="00AD3D49">
        <w:trPr>
          <w:tblHeader/>
        </w:trPr>
        <w:tc>
          <w:tcPr>
            <w:tcW w:w="3969" w:type="dxa"/>
            <w:shd w:val="clear" w:color="auto" w:fill="auto"/>
            <w:vAlign w:val="center"/>
          </w:tcPr>
          <w:p w14:paraId="056382E9" w14:textId="3E89E553" w:rsidR="00F76C44" w:rsidRPr="00F76C44" w:rsidRDefault="002D4A1F" w:rsidP="002D4A1F">
            <w:pPr>
              <w:pStyle w:val="NormalWeb"/>
              <w:spacing w:before="0" w:beforeAutospacing="0" w:after="0" w:afterAutospacing="0"/>
              <w:rPr>
                <w:rFonts w:asciiTheme="minorHAnsi" w:eastAsiaTheme="minorHAnsi" w:hAnsiTheme="minorHAnsi" w:cstheme="minorBidi"/>
                <w:lang w:eastAsia="en-US"/>
              </w:rPr>
            </w:pPr>
            <w:r w:rsidRPr="002D4A1F">
              <w:rPr>
                <w:rFonts w:asciiTheme="minorHAnsi" w:eastAsiaTheme="minorHAnsi" w:hAnsiTheme="minorHAnsi" w:cstheme="minorBidi"/>
                <w:lang w:eastAsia="en-US"/>
              </w:rPr>
              <w:t>Usage de stupéfiants</w:t>
            </w:r>
          </w:p>
        </w:tc>
        <w:tc>
          <w:tcPr>
            <w:tcW w:w="1701" w:type="dxa"/>
            <w:shd w:val="clear" w:color="auto" w:fill="auto"/>
            <w:vAlign w:val="center"/>
          </w:tcPr>
          <w:p w14:paraId="55A1C922" w14:textId="6C29A8E3" w:rsidR="00F76C44" w:rsidRPr="00F76C44" w:rsidRDefault="00F908AA"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Mis en cause</w:t>
            </w:r>
          </w:p>
        </w:tc>
        <w:tc>
          <w:tcPr>
            <w:tcW w:w="1134" w:type="dxa"/>
            <w:shd w:val="clear" w:color="auto" w:fill="auto"/>
            <w:vAlign w:val="center"/>
          </w:tcPr>
          <w:p w14:paraId="3AAE08CD" w14:textId="1DE29B0C"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auto"/>
            <w:vAlign w:val="center"/>
          </w:tcPr>
          <w:p w14:paraId="41946615" w14:textId="1962DA01"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auto"/>
            <w:vAlign w:val="center"/>
          </w:tcPr>
          <w:p w14:paraId="751D03A6" w14:textId="00520626"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r>
      <w:tr w:rsidR="00F76C44" w14:paraId="467BED99" w14:textId="77777777" w:rsidTr="00AD3D49">
        <w:trPr>
          <w:tblHeader/>
        </w:trPr>
        <w:tc>
          <w:tcPr>
            <w:tcW w:w="3969" w:type="dxa"/>
            <w:shd w:val="clear" w:color="auto" w:fill="auto"/>
            <w:vAlign w:val="center"/>
          </w:tcPr>
          <w:p w14:paraId="3315887E" w14:textId="760218D6" w:rsidR="00F76C44" w:rsidRPr="00F76C44" w:rsidRDefault="002D4A1F" w:rsidP="002D4A1F">
            <w:pPr>
              <w:pStyle w:val="NormalWeb"/>
              <w:spacing w:before="0" w:beforeAutospacing="0" w:after="0" w:afterAutospacing="0"/>
              <w:rPr>
                <w:rFonts w:asciiTheme="minorHAnsi" w:eastAsiaTheme="minorHAnsi" w:hAnsiTheme="minorHAnsi" w:cstheme="minorBidi"/>
                <w:lang w:eastAsia="en-US"/>
              </w:rPr>
            </w:pPr>
            <w:r w:rsidRPr="002D4A1F">
              <w:rPr>
                <w:rFonts w:asciiTheme="minorHAnsi" w:eastAsiaTheme="minorHAnsi" w:hAnsiTheme="minorHAnsi" w:cstheme="minorBidi"/>
                <w:lang w:eastAsia="en-US"/>
              </w:rPr>
              <w:t>Trafic de stupéfiants</w:t>
            </w:r>
          </w:p>
        </w:tc>
        <w:tc>
          <w:tcPr>
            <w:tcW w:w="1701" w:type="dxa"/>
            <w:shd w:val="clear" w:color="auto" w:fill="auto"/>
            <w:vAlign w:val="center"/>
          </w:tcPr>
          <w:p w14:paraId="5C221453" w14:textId="081FF222" w:rsidR="00F76C44" w:rsidRPr="00F76C44" w:rsidRDefault="00F908AA"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Mis en cause</w:t>
            </w:r>
          </w:p>
        </w:tc>
        <w:tc>
          <w:tcPr>
            <w:tcW w:w="1134" w:type="dxa"/>
            <w:shd w:val="clear" w:color="auto" w:fill="auto"/>
            <w:vAlign w:val="center"/>
          </w:tcPr>
          <w:p w14:paraId="2272AA17" w14:textId="65C2929B"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auto"/>
            <w:vAlign w:val="center"/>
          </w:tcPr>
          <w:p w14:paraId="23F40A73" w14:textId="747F23FE"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auto"/>
            <w:vAlign w:val="center"/>
          </w:tcPr>
          <w:p w14:paraId="6441AC4D" w14:textId="4C94ADC6"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r>
      <w:tr w:rsidR="002D4A1F" w14:paraId="31BEFFFB" w14:textId="77777777" w:rsidTr="00AD3D49">
        <w:trPr>
          <w:tblHeader/>
        </w:trPr>
        <w:tc>
          <w:tcPr>
            <w:tcW w:w="3969" w:type="dxa"/>
            <w:shd w:val="clear" w:color="auto" w:fill="auto"/>
            <w:vAlign w:val="center"/>
          </w:tcPr>
          <w:p w14:paraId="1B56E871" w14:textId="6A9BDB7A" w:rsidR="00F76C44" w:rsidRPr="00F76C44" w:rsidRDefault="007C6895" w:rsidP="002D4A1F">
            <w:pPr>
              <w:pStyle w:val="NormalWeb"/>
              <w:spacing w:before="0" w:beforeAutospacing="0" w:after="0" w:afterAutospacing="0"/>
              <w:rPr>
                <w:rFonts w:asciiTheme="minorHAnsi" w:eastAsiaTheme="minorHAnsi" w:hAnsiTheme="minorHAnsi" w:cstheme="minorBidi"/>
                <w:lang w:eastAsia="en-US"/>
              </w:rPr>
            </w:pPr>
            <w:r w:rsidRPr="007C6895">
              <w:rPr>
                <w:rFonts w:asciiTheme="minorHAnsi" w:eastAsiaTheme="minorHAnsi" w:hAnsiTheme="minorHAnsi" w:cstheme="minorBidi"/>
                <w:lang w:eastAsia="en-US"/>
              </w:rPr>
              <w:t>Escroqueries et fraudes aux moyens de paiement</w:t>
            </w:r>
          </w:p>
        </w:tc>
        <w:tc>
          <w:tcPr>
            <w:tcW w:w="1701" w:type="dxa"/>
            <w:shd w:val="clear" w:color="auto" w:fill="auto"/>
            <w:vAlign w:val="center"/>
          </w:tcPr>
          <w:p w14:paraId="701FF311" w14:textId="3E65A1D6" w:rsidR="00F76C44" w:rsidRPr="00F76C44" w:rsidRDefault="007C6895"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Victime</w:t>
            </w:r>
          </w:p>
        </w:tc>
        <w:tc>
          <w:tcPr>
            <w:tcW w:w="1134" w:type="dxa"/>
            <w:shd w:val="clear" w:color="auto" w:fill="auto"/>
            <w:vAlign w:val="center"/>
          </w:tcPr>
          <w:p w14:paraId="14BCBFFA" w14:textId="7EDB7159"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auto"/>
            <w:vAlign w:val="center"/>
          </w:tcPr>
          <w:p w14:paraId="281D8368" w14:textId="43985D2A" w:rsidR="00F76C44" w:rsidRPr="00F76C44" w:rsidRDefault="00E15D4B" w:rsidP="00AD3D49">
            <w:pPr>
              <w:pStyle w:val="NormalWeb"/>
              <w:spacing w:before="0" w:beforeAutospacing="0" w:after="0" w:afterAutospacing="0"/>
              <w:jc w:val="center"/>
              <w:rPr>
                <w:rFonts w:asciiTheme="minorHAnsi" w:eastAsiaTheme="minorHAnsi" w:hAnsiTheme="minorHAnsi" w:cstheme="minorBidi"/>
                <w:lang w:eastAsia="en-US"/>
              </w:rPr>
            </w:pPr>
            <w:r>
              <w:rPr>
                <w:rFonts w:asciiTheme="minorHAnsi" w:eastAsiaTheme="minorHAnsi" w:hAnsiTheme="minorHAnsi" w:cstheme="minorBidi"/>
                <w:lang w:eastAsia="en-US"/>
              </w:rPr>
              <w:t>x</w:t>
            </w:r>
          </w:p>
        </w:tc>
        <w:tc>
          <w:tcPr>
            <w:tcW w:w="1134" w:type="dxa"/>
            <w:shd w:val="clear" w:color="auto" w:fill="E7E6E6" w:themeFill="background2"/>
            <w:vAlign w:val="center"/>
          </w:tcPr>
          <w:p w14:paraId="0F46FF5B" w14:textId="77777777" w:rsidR="00F76C44" w:rsidRPr="00F76C44" w:rsidRDefault="00F76C44" w:rsidP="00AD3D49">
            <w:pPr>
              <w:pStyle w:val="NormalWeb"/>
              <w:spacing w:before="0" w:beforeAutospacing="0" w:after="0" w:afterAutospacing="0"/>
              <w:jc w:val="center"/>
              <w:rPr>
                <w:rFonts w:asciiTheme="minorHAnsi" w:eastAsiaTheme="minorHAnsi" w:hAnsiTheme="minorHAnsi" w:cstheme="minorBidi"/>
                <w:lang w:eastAsia="en-US"/>
              </w:rPr>
            </w:pPr>
          </w:p>
        </w:tc>
      </w:tr>
    </w:tbl>
    <w:p w14:paraId="51516D12" w14:textId="77777777" w:rsidR="00F76C44" w:rsidRDefault="00F76C44" w:rsidP="003014B0">
      <w:pPr>
        <w:pStyle w:val="NormalWeb"/>
        <w:spacing w:before="0" w:beforeAutospacing="0" w:after="0" w:afterAutospacing="0"/>
        <w:rPr>
          <w:rFonts w:asciiTheme="minorHAnsi" w:eastAsiaTheme="minorHAnsi" w:hAnsiTheme="minorHAnsi" w:cstheme="minorBidi"/>
          <w:lang w:eastAsia="en-US"/>
        </w:rPr>
      </w:pPr>
    </w:p>
    <w:p w14:paraId="4505274D" w14:textId="743FC96E" w:rsidR="003014B0" w:rsidRDefault="003014B0" w:rsidP="00D13DF8">
      <w:pPr>
        <w:pStyle w:val="NormalWeb"/>
        <w:spacing w:before="0" w:beforeAutospacing="0" w:after="0" w:afterAutospacing="0"/>
        <w:jc w:val="both"/>
        <w:rPr>
          <w:rFonts w:asciiTheme="minorHAnsi" w:eastAsiaTheme="minorHAnsi" w:hAnsiTheme="minorHAnsi" w:cstheme="minorBidi"/>
          <w:lang w:eastAsia="en-US"/>
        </w:rPr>
      </w:pPr>
      <w:r w:rsidRPr="006F2A36">
        <w:rPr>
          <w:rFonts w:asciiTheme="minorHAnsi" w:eastAsiaTheme="minorHAnsi" w:hAnsiTheme="minorHAnsi" w:cstheme="minorBidi"/>
          <w:lang w:eastAsia="en-US"/>
        </w:rPr>
        <w:t xml:space="preserve">Ces bases de données ont vocation à être enrichies au fur et à mesure </w:t>
      </w:r>
      <w:r w:rsidR="00400364">
        <w:rPr>
          <w:rFonts w:asciiTheme="minorHAnsi" w:eastAsiaTheme="minorHAnsi" w:hAnsiTheme="minorHAnsi" w:cstheme="minorBidi"/>
          <w:lang w:eastAsia="en-US"/>
        </w:rPr>
        <w:t xml:space="preserve">de la fiabilisation </w:t>
      </w:r>
      <w:r w:rsidRPr="006F2A36">
        <w:rPr>
          <w:rFonts w:asciiTheme="minorHAnsi" w:eastAsiaTheme="minorHAnsi" w:hAnsiTheme="minorHAnsi" w:cstheme="minorBidi"/>
          <w:lang w:eastAsia="en-US"/>
        </w:rPr>
        <w:t>d’autres indicateurs.</w:t>
      </w:r>
    </w:p>
    <w:p w14:paraId="5F2D3CDD" w14:textId="77777777" w:rsidR="00112234" w:rsidRDefault="00112234" w:rsidP="00D13DF8">
      <w:pPr>
        <w:pStyle w:val="NormalWeb"/>
        <w:spacing w:before="0" w:beforeAutospacing="0" w:after="0" w:afterAutospacing="0"/>
        <w:jc w:val="both"/>
        <w:rPr>
          <w:rFonts w:asciiTheme="minorHAnsi" w:eastAsiaTheme="minorHAnsi" w:hAnsiTheme="minorHAnsi" w:cstheme="minorBidi"/>
          <w:lang w:eastAsia="en-US"/>
        </w:rPr>
      </w:pPr>
    </w:p>
    <w:p w14:paraId="6584E4DE" w14:textId="64FD7DBF" w:rsidR="00112234" w:rsidRDefault="00112234" w:rsidP="00D13DF8">
      <w:pPr>
        <w:pStyle w:val="NormalWeb"/>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Calendrier des enrichissements</w:t>
      </w:r>
      <w:r w:rsidR="00C02D8C">
        <w:rPr>
          <w:rFonts w:asciiTheme="minorHAnsi" w:eastAsiaTheme="minorHAnsi" w:hAnsiTheme="minorHAnsi" w:cstheme="minorBidi"/>
          <w:lang w:eastAsia="en-US"/>
        </w:rPr>
        <w:t>/modifications</w:t>
      </w:r>
      <w:r>
        <w:rPr>
          <w:rFonts w:asciiTheme="minorHAnsi" w:eastAsiaTheme="minorHAnsi" w:hAnsiTheme="minorHAnsi" w:cstheme="minorBidi"/>
          <w:lang w:eastAsia="en-US"/>
        </w:rPr>
        <w:t> :</w:t>
      </w:r>
    </w:p>
    <w:p w14:paraId="19322A63" w14:textId="1DC0AC2A" w:rsidR="00A23FFF" w:rsidRDefault="000A589C" w:rsidP="00D13DF8">
      <w:pPr>
        <w:pStyle w:val="NormalWeb"/>
        <w:numPr>
          <w:ilvl w:val="0"/>
          <w:numId w:val="6"/>
        </w:numPr>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Janvier 2025 : I</w:t>
      </w:r>
      <w:r w:rsidR="00A23FFF">
        <w:rPr>
          <w:rFonts w:asciiTheme="minorHAnsi" w:eastAsiaTheme="minorHAnsi" w:hAnsiTheme="minorHAnsi" w:cstheme="minorBidi"/>
          <w:lang w:eastAsia="en-US"/>
        </w:rPr>
        <w:t>ntégration de l’indicateur relatif aux tentatives d’homicides à l’échelon départemental et régional ;</w:t>
      </w:r>
      <w:r w:rsidR="00885D6B">
        <w:rPr>
          <w:rFonts w:asciiTheme="minorHAnsi" w:eastAsiaTheme="minorHAnsi" w:hAnsiTheme="minorHAnsi" w:cstheme="minorBidi"/>
          <w:lang w:eastAsia="en-US"/>
        </w:rPr>
        <w:t xml:space="preserve"> renommage des variables</w:t>
      </w:r>
      <w:r>
        <w:rPr>
          <w:rFonts w:asciiTheme="minorHAnsi" w:eastAsiaTheme="minorHAnsi" w:hAnsiTheme="minorHAnsi" w:cstheme="minorBidi"/>
          <w:lang w:eastAsia="en-US"/>
        </w:rPr>
        <w:t>.</w:t>
      </w:r>
    </w:p>
    <w:p w14:paraId="22535814" w14:textId="4AD047D8" w:rsidR="00A23FFF" w:rsidRDefault="00A23FFF" w:rsidP="00D13DF8">
      <w:pPr>
        <w:pStyle w:val="NormalWeb"/>
        <w:numPr>
          <w:ilvl w:val="0"/>
          <w:numId w:val="6"/>
        </w:numPr>
        <w:spacing w:before="0" w:beforeAutospacing="0" w:after="0" w:afterAutospacing="0"/>
        <w:jc w:val="both"/>
        <w:rPr>
          <w:rFonts w:asciiTheme="minorHAnsi" w:eastAsiaTheme="minorHAnsi" w:hAnsiTheme="minorHAnsi" w:cstheme="minorBidi"/>
          <w:lang w:eastAsia="en-US"/>
        </w:rPr>
      </w:pPr>
      <w:r w:rsidRPr="00D72672">
        <w:rPr>
          <w:rFonts w:asciiTheme="minorHAnsi" w:eastAsiaTheme="minorHAnsi" w:hAnsiTheme="minorHAnsi" w:cstheme="minorBidi"/>
          <w:lang w:eastAsia="en-US"/>
        </w:rPr>
        <w:t xml:space="preserve">Juillet 2024 : </w:t>
      </w:r>
      <w:r w:rsidR="000A589C">
        <w:rPr>
          <w:rFonts w:asciiTheme="minorHAnsi" w:eastAsiaTheme="minorHAnsi" w:hAnsiTheme="minorHAnsi" w:cstheme="minorBidi"/>
          <w:lang w:eastAsia="en-US"/>
        </w:rPr>
        <w:t>I</w:t>
      </w:r>
      <w:r w:rsidRPr="00D72672">
        <w:rPr>
          <w:rFonts w:asciiTheme="minorHAnsi" w:eastAsiaTheme="minorHAnsi" w:hAnsiTheme="minorHAnsi" w:cstheme="minorBidi"/>
          <w:lang w:eastAsia="en-US"/>
        </w:rPr>
        <w:t>ntégration de la géographie des communes connue au 1</w:t>
      </w:r>
      <w:r w:rsidRPr="00D72672">
        <w:rPr>
          <w:rFonts w:asciiTheme="minorHAnsi" w:eastAsiaTheme="minorHAnsi" w:hAnsiTheme="minorHAnsi" w:cstheme="minorBidi"/>
          <w:vertAlign w:val="superscript"/>
          <w:lang w:eastAsia="en-US"/>
        </w:rPr>
        <w:t>er</w:t>
      </w:r>
      <w:r w:rsidR="000A589C">
        <w:rPr>
          <w:rFonts w:asciiTheme="minorHAnsi" w:eastAsiaTheme="minorHAnsi" w:hAnsiTheme="minorHAnsi" w:cstheme="minorBidi"/>
          <w:lang w:eastAsia="en-US"/>
        </w:rPr>
        <w:t xml:space="preserve"> janvier 2024.</w:t>
      </w:r>
    </w:p>
    <w:p w14:paraId="0649C087" w14:textId="0F34773D" w:rsidR="00A23FFF" w:rsidRDefault="00A23FFF" w:rsidP="00D13DF8">
      <w:pPr>
        <w:pStyle w:val="NormalWeb"/>
        <w:numPr>
          <w:ilvl w:val="0"/>
          <w:numId w:val="6"/>
        </w:numPr>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 xml:space="preserve">Mars 2024 : </w:t>
      </w:r>
      <w:r w:rsidR="000A589C">
        <w:rPr>
          <w:rFonts w:asciiTheme="minorHAnsi" w:eastAsiaTheme="minorHAnsi" w:hAnsiTheme="minorHAnsi" w:cstheme="minorBidi"/>
          <w:lang w:eastAsia="en-US"/>
        </w:rPr>
        <w:t>A</w:t>
      </w:r>
      <w:r w:rsidRPr="005F7726">
        <w:rPr>
          <w:rFonts w:asciiTheme="minorHAnsi" w:eastAsiaTheme="minorHAnsi" w:hAnsiTheme="minorHAnsi" w:cstheme="minorBidi"/>
          <w:lang w:eastAsia="en-US"/>
        </w:rPr>
        <w:t>jout des arrondissements de Paris, Lyon et Marseille pour les indicateurs usage et trafic de stupéfiants dans la base communale</w:t>
      </w:r>
      <w:r w:rsidR="004C776A">
        <w:rPr>
          <w:rFonts w:asciiTheme="minorHAnsi" w:eastAsiaTheme="minorHAnsi" w:hAnsiTheme="minorHAnsi" w:cstheme="minorBidi"/>
          <w:lang w:eastAsia="en-US"/>
        </w:rPr>
        <w:t xml:space="preserve"> </w:t>
      </w:r>
      <w:r w:rsidRPr="005F7726">
        <w:rPr>
          <w:rFonts w:asciiTheme="minorHAnsi" w:eastAsiaTheme="minorHAnsi" w:hAnsiTheme="minorHAnsi" w:cstheme="minorBidi"/>
          <w:lang w:eastAsia="en-US"/>
        </w:rPr>
        <w:t>; création d'une base régionale pour l'ensemble des indicateurs de la délinquance disponibles</w:t>
      </w:r>
      <w:r w:rsidR="000A589C">
        <w:rPr>
          <w:rFonts w:asciiTheme="minorHAnsi" w:eastAsiaTheme="minorHAnsi" w:hAnsiTheme="minorHAnsi" w:cstheme="minorBidi"/>
          <w:lang w:eastAsia="en-US"/>
        </w:rPr>
        <w:t>.</w:t>
      </w:r>
    </w:p>
    <w:p w14:paraId="17169686" w14:textId="3D6CFB8D" w:rsidR="00A23FFF" w:rsidRDefault="00A23FFF" w:rsidP="00D13DF8">
      <w:pPr>
        <w:pStyle w:val="NormalWeb"/>
        <w:numPr>
          <w:ilvl w:val="0"/>
          <w:numId w:val="6"/>
        </w:numPr>
        <w:spacing w:before="0" w:beforeAutospacing="0" w:after="0" w:afterAutospacing="0"/>
        <w:jc w:val="both"/>
        <w:rPr>
          <w:rFonts w:asciiTheme="minorHAnsi" w:eastAsiaTheme="minorHAnsi" w:hAnsiTheme="minorHAnsi" w:cstheme="minorBidi"/>
          <w:lang w:eastAsia="en-US"/>
        </w:rPr>
      </w:pPr>
      <w:r w:rsidRPr="00173B66">
        <w:rPr>
          <w:rFonts w:asciiTheme="minorHAnsi" w:eastAsiaTheme="minorHAnsi" w:hAnsiTheme="minorHAnsi" w:cstheme="minorBidi"/>
          <w:lang w:eastAsia="en-US"/>
        </w:rPr>
        <w:t>Février 2024</w:t>
      </w:r>
      <w:r w:rsidR="00D63632">
        <w:rPr>
          <w:rFonts w:asciiTheme="minorHAnsi" w:eastAsiaTheme="minorHAnsi" w:hAnsiTheme="minorHAnsi" w:cstheme="minorBidi"/>
          <w:lang w:eastAsia="en-US"/>
        </w:rPr>
        <w:t xml:space="preserve"> </w:t>
      </w:r>
      <w:r w:rsidRPr="00173B66">
        <w:rPr>
          <w:rFonts w:asciiTheme="minorHAnsi" w:eastAsiaTheme="minorHAnsi" w:hAnsiTheme="minorHAnsi" w:cstheme="minorBidi"/>
          <w:lang w:eastAsia="en-US"/>
        </w:rPr>
        <w:t xml:space="preserve">: </w:t>
      </w:r>
      <w:r w:rsidR="00C46C3A">
        <w:rPr>
          <w:rFonts w:asciiTheme="minorHAnsi" w:eastAsiaTheme="minorHAnsi" w:hAnsiTheme="minorHAnsi" w:cstheme="minorBidi"/>
          <w:lang w:eastAsia="en-US"/>
        </w:rPr>
        <w:t>A</w:t>
      </w:r>
      <w:r w:rsidRPr="005F7726">
        <w:rPr>
          <w:rFonts w:asciiTheme="minorHAnsi" w:eastAsiaTheme="minorHAnsi" w:hAnsiTheme="minorHAnsi" w:cstheme="minorBidi"/>
          <w:lang w:eastAsia="en-US"/>
        </w:rPr>
        <w:t>jout de la base communale au format Parquet</w:t>
      </w:r>
      <w:r w:rsidR="004C776A">
        <w:rPr>
          <w:rFonts w:asciiTheme="minorHAnsi" w:eastAsiaTheme="minorHAnsi" w:hAnsiTheme="minorHAnsi" w:cstheme="minorBidi"/>
          <w:lang w:eastAsia="en-US"/>
        </w:rPr>
        <w:t xml:space="preserve"> </w:t>
      </w:r>
      <w:r w:rsidRPr="005F7726">
        <w:rPr>
          <w:rFonts w:asciiTheme="minorHAnsi" w:eastAsiaTheme="minorHAnsi" w:hAnsiTheme="minorHAnsi" w:cstheme="minorBidi"/>
          <w:lang w:eastAsia="en-US"/>
        </w:rPr>
        <w:t>;</w:t>
      </w:r>
      <w:r>
        <w:rPr>
          <w:rFonts w:asciiTheme="minorHAnsi" w:eastAsiaTheme="minorHAnsi" w:hAnsiTheme="minorHAnsi" w:cstheme="minorBidi"/>
          <w:lang w:eastAsia="en-US"/>
        </w:rPr>
        <w:t xml:space="preserve"> </w:t>
      </w:r>
      <w:r w:rsidRPr="00173B66">
        <w:rPr>
          <w:rFonts w:asciiTheme="minorHAnsi" w:eastAsiaTheme="minorHAnsi" w:hAnsiTheme="minorHAnsi" w:cstheme="minorBidi"/>
          <w:lang w:eastAsia="en-US"/>
        </w:rPr>
        <w:t>révision du fichier départemental sur les destructions et dégradations volontaires en 2023 (ajout de remontées d’informations tardives)</w:t>
      </w:r>
      <w:r w:rsidR="00C46C3A">
        <w:rPr>
          <w:rFonts w:asciiTheme="minorHAnsi" w:eastAsiaTheme="minorHAnsi" w:hAnsiTheme="minorHAnsi" w:cstheme="minorBidi"/>
          <w:lang w:eastAsia="en-US"/>
        </w:rPr>
        <w:t>.</w:t>
      </w:r>
    </w:p>
    <w:p w14:paraId="06C86E40" w14:textId="7761D459" w:rsidR="00A23FFF" w:rsidRDefault="00D35D34" w:rsidP="00D13DF8">
      <w:pPr>
        <w:pStyle w:val="NormalWeb"/>
        <w:numPr>
          <w:ilvl w:val="0"/>
          <w:numId w:val="6"/>
        </w:numPr>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lastRenderedPageBreak/>
        <w:t>Janvier 2024 : A</w:t>
      </w:r>
      <w:r w:rsidR="00A23FFF">
        <w:rPr>
          <w:rFonts w:asciiTheme="minorHAnsi" w:eastAsiaTheme="minorHAnsi" w:hAnsiTheme="minorHAnsi" w:cstheme="minorBidi"/>
          <w:lang w:eastAsia="en-US"/>
        </w:rPr>
        <w:t xml:space="preserve">jouts des indicateurs relatifs aux homicides et aux escroqueries à l’échelon départemental (pour plus de détails cf. Interstats Analyse numéro 65 : </w:t>
      </w:r>
      <w:hyperlink r:id="rId9" w:history="1">
        <w:r w:rsidR="00A23FFF" w:rsidRPr="003517B2">
          <w:rPr>
            <w:rStyle w:val="Lienhypertexte"/>
            <w:rFonts w:asciiTheme="minorHAnsi" w:eastAsiaTheme="minorHAnsi" w:hAnsiTheme="minorHAnsi" w:cstheme="minorBidi"/>
            <w:lang w:eastAsia="en-US"/>
          </w:rPr>
          <w:t>https://www.interieur.gou</w:t>
        </w:r>
        <w:r w:rsidR="00A23FFF" w:rsidRPr="003517B2">
          <w:rPr>
            <w:rStyle w:val="Lienhypertexte"/>
            <w:rFonts w:asciiTheme="minorHAnsi" w:eastAsiaTheme="minorHAnsi" w:hAnsiTheme="minorHAnsi" w:cstheme="minorBidi"/>
            <w:lang w:eastAsia="en-US"/>
          </w:rPr>
          <w:t>v</w:t>
        </w:r>
        <w:r w:rsidR="00A23FFF" w:rsidRPr="003517B2">
          <w:rPr>
            <w:rStyle w:val="Lienhypertexte"/>
            <w:rFonts w:asciiTheme="minorHAnsi" w:eastAsiaTheme="minorHAnsi" w:hAnsiTheme="minorHAnsi" w:cstheme="minorBidi"/>
            <w:lang w:eastAsia="en-US"/>
          </w:rPr>
          <w:t>.fr/Interstats/Actualites/Geographie-departementale-de-la-delinquance-enregistree-en-2023-Interstats-Analyse-n-65</w:t>
        </w:r>
      </w:hyperlink>
      <w:r>
        <w:rPr>
          <w:rFonts w:asciiTheme="minorHAnsi" w:eastAsiaTheme="minorHAnsi" w:hAnsiTheme="minorHAnsi" w:cstheme="minorBidi"/>
          <w:lang w:eastAsia="en-US"/>
        </w:rPr>
        <w:t>).</w:t>
      </w:r>
    </w:p>
    <w:p w14:paraId="60798B94" w14:textId="51728CE7" w:rsidR="00A23FFF" w:rsidRDefault="00A23FFF" w:rsidP="00D13DF8">
      <w:pPr>
        <w:pStyle w:val="NormalWeb"/>
        <w:numPr>
          <w:ilvl w:val="0"/>
          <w:numId w:val="6"/>
        </w:numPr>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 xml:space="preserve">Juillet 2023 : </w:t>
      </w:r>
      <w:r w:rsidR="00661E59">
        <w:rPr>
          <w:rFonts w:asciiTheme="minorHAnsi" w:eastAsiaTheme="minorHAnsi" w:hAnsiTheme="minorHAnsi" w:cstheme="minorBidi"/>
          <w:lang w:eastAsia="en-US"/>
        </w:rPr>
        <w:t>A</w:t>
      </w:r>
      <w:r>
        <w:rPr>
          <w:rFonts w:asciiTheme="minorHAnsi" w:eastAsiaTheme="minorHAnsi" w:hAnsiTheme="minorHAnsi" w:cstheme="minorBidi"/>
          <w:lang w:eastAsia="en-US"/>
        </w:rPr>
        <w:t>jouts des indicateurs relatifs à l’usage et au trafic de stupéfiants, intégration de la géographie des communes connue au 1</w:t>
      </w:r>
      <w:r w:rsidRPr="00D13DF8">
        <w:rPr>
          <w:rFonts w:asciiTheme="minorHAnsi" w:eastAsiaTheme="minorHAnsi" w:hAnsiTheme="minorHAnsi" w:cstheme="minorBidi"/>
          <w:vertAlign w:val="superscript"/>
          <w:lang w:eastAsia="en-US"/>
        </w:rPr>
        <w:t>er</w:t>
      </w:r>
      <w:r>
        <w:rPr>
          <w:rFonts w:asciiTheme="minorHAnsi" w:eastAsiaTheme="minorHAnsi" w:hAnsiTheme="minorHAnsi" w:cstheme="minorBidi"/>
          <w:lang w:eastAsia="en-US"/>
        </w:rPr>
        <w:t xml:space="preserve"> janvier 2023</w:t>
      </w:r>
      <w:r w:rsidR="00661E59">
        <w:rPr>
          <w:rFonts w:asciiTheme="minorHAnsi" w:eastAsiaTheme="minorHAnsi" w:hAnsiTheme="minorHAnsi" w:cstheme="minorBidi"/>
          <w:lang w:eastAsia="en-US"/>
        </w:rPr>
        <w:t>.</w:t>
      </w:r>
    </w:p>
    <w:p w14:paraId="06EA00C4" w14:textId="0F5EDA48" w:rsidR="00A23FFF" w:rsidRDefault="00661E59" w:rsidP="00D13DF8">
      <w:pPr>
        <w:pStyle w:val="NormalWeb"/>
        <w:numPr>
          <w:ilvl w:val="0"/>
          <w:numId w:val="6"/>
        </w:numPr>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Mars 2023 : A</w:t>
      </w:r>
      <w:r w:rsidR="00A23FFF">
        <w:rPr>
          <w:rFonts w:asciiTheme="minorHAnsi" w:eastAsiaTheme="minorHAnsi" w:hAnsiTheme="minorHAnsi" w:cstheme="minorBidi"/>
          <w:lang w:eastAsia="en-US"/>
        </w:rPr>
        <w:t xml:space="preserve">jout de l’indicateur relatif aux </w:t>
      </w:r>
      <w:r w:rsidR="00A23FFF" w:rsidRPr="00112234">
        <w:rPr>
          <w:rFonts w:asciiTheme="minorHAnsi" w:eastAsiaTheme="minorHAnsi" w:hAnsiTheme="minorHAnsi" w:cstheme="minorBidi"/>
          <w:lang w:eastAsia="en-US"/>
        </w:rPr>
        <w:t xml:space="preserve">destructions et dégradations volontaires, </w:t>
      </w:r>
      <w:r w:rsidR="00A23FFF">
        <w:rPr>
          <w:rFonts w:asciiTheme="minorHAnsi" w:eastAsiaTheme="minorHAnsi" w:hAnsiTheme="minorHAnsi" w:cstheme="minorBidi"/>
          <w:lang w:eastAsia="en-US"/>
        </w:rPr>
        <w:t>extension du champ géographique aux</w:t>
      </w:r>
      <w:r w:rsidR="00A23FFF" w:rsidRPr="00112234">
        <w:rPr>
          <w:rFonts w:asciiTheme="minorHAnsi" w:eastAsiaTheme="minorHAnsi" w:hAnsiTheme="minorHAnsi" w:cstheme="minorBidi"/>
          <w:lang w:eastAsia="en-US"/>
        </w:rPr>
        <w:t xml:space="preserve"> DROM et </w:t>
      </w:r>
      <w:r w:rsidR="00A23FFF">
        <w:rPr>
          <w:rFonts w:asciiTheme="minorHAnsi" w:eastAsiaTheme="minorHAnsi" w:hAnsiTheme="minorHAnsi" w:cstheme="minorBidi"/>
          <w:lang w:eastAsia="en-US"/>
        </w:rPr>
        <w:t>ajout des</w:t>
      </w:r>
      <w:r w:rsidR="00A23FFF" w:rsidRPr="00112234">
        <w:rPr>
          <w:rFonts w:asciiTheme="minorHAnsi" w:eastAsiaTheme="minorHAnsi" w:hAnsiTheme="minorHAnsi" w:cstheme="minorBidi"/>
          <w:lang w:eastAsia="en-US"/>
        </w:rPr>
        <w:t xml:space="preserve"> arrondissements de Paris, Lyon et Marseille</w:t>
      </w:r>
      <w:r>
        <w:rPr>
          <w:rFonts w:asciiTheme="minorHAnsi" w:eastAsiaTheme="minorHAnsi" w:hAnsiTheme="minorHAnsi" w:cstheme="minorBidi"/>
          <w:lang w:eastAsia="en-US"/>
        </w:rPr>
        <w:t>.</w:t>
      </w:r>
    </w:p>
    <w:p w14:paraId="2768A9C1" w14:textId="5CE0EFAA" w:rsidR="00A23FFF" w:rsidRDefault="00661E59" w:rsidP="00D13DF8">
      <w:pPr>
        <w:pStyle w:val="NormalWeb"/>
        <w:numPr>
          <w:ilvl w:val="0"/>
          <w:numId w:val="6"/>
        </w:numPr>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Septembre 2022 : I</w:t>
      </w:r>
      <w:r w:rsidR="00A23FFF">
        <w:rPr>
          <w:rFonts w:asciiTheme="minorHAnsi" w:eastAsiaTheme="minorHAnsi" w:hAnsiTheme="minorHAnsi" w:cstheme="minorBidi"/>
          <w:lang w:eastAsia="en-US"/>
        </w:rPr>
        <w:t>ntégration de la géographie des communes connue au 1</w:t>
      </w:r>
      <w:r w:rsidR="00A23FFF" w:rsidRPr="00D13DF8">
        <w:rPr>
          <w:rFonts w:asciiTheme="minorHAnsi" w:eastAsiaTheme="minorHAnsi" w:hAnsiTheme="minorHAnsi" w:cstheme="minorBidi"/>
          <w:vertAlign w:val="superscript"/>
          <w:lang w:eastAsia="en-US"/>
        </w:rPr>
        <w:t>er</w:t>
      </w:r>
      <w:r w:rsidR="00A23FFF">
        <w:rPr>
          <w:rFonts w:asciiTheme="minorHAnsi" w:eastAsiaTheme="minorHAnsi" w:hAnsiTheme="minorHAnsi" w:cstheme="minorBidi"/>
          <w:lang w:eastAsia="en-US"/>
        </w:rPr>
        <w:t xml:space="preserve"> janvier 2022</w:t>
      </w:r>
      <w:r>
        <w:rPr>
          <w:rFonts w:asciiTheme="minorHAnsi" w:eastAsiaTheme="minorHAnsi" w:hAnsiTheme="minorHAnsi" w:cstheme="minorBidi"/>
          <w:lang w:eastAsia="en-US"/>
        </w:rPr>
        <w:t>.</w:t>
      </w:r>
    </w:p>
    <w:p w14:paraId="0112D43E" w14:textId="5B252091" w:rsidR="00A23FFF" w:rsidRDefault="00A23FFF" w:rsidP="00D13DF8">
      <w:pPr>
        <w:pStyle w:val="NormalWeb"/>
        <w:numPr>
          <w:ilvl w:val="0"/>
          <w:numId w:val="6"/>
        </w:numPr>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Juin 2022</w:t>
      </w:r>
      <w:r w:rsidR="003D4E01">
        <w:rPr>
          <w:rFonts w:asciiTheme="minorHAnsi" w:eastAsiaTheme="minorHAnsi" w:hAnsiTheme="minorHAnsi" w:cstheme="minorBidi"/>
          <w:lang w:eastAsia="en-US"/>
        </w:rPr>
        <w:t xml:space="preserve"> </w:t>
      </w:r>
      <w:r w:rsidR="00661E59">
        <w:rPr>
          <w:rFonts w:asciiTheme="minorHAnsi" w:eastAsiaTheme="minorHAnsi" w:hAnsiTheme="minorHAnsi" w:cstheme="minorBidi"/>
          <w:lang w:eastAsia="en-US"/>
        </w:rPr>
        <w:t>: R</w:t>
      </w:r>
      <w:r w:rsidRPr="00C02D8C">
        <w:rPr>
          <w:rFonts w:asciiTheme="minorHAnsi" w:eastAsiaTheme="minorHAnsi" w:hAnsiTheme="minorHAnsi" w:cstheme="minorBidi"/>
          <w:lang w:eastAsia="en-US"/>
        </w:rPr>
        <w:t>ectification de la valeur de certains taux départementaux de délinquance pour 1000 habitants/logements. Pour les départements de Paris, du Rhône et des Bouches-du-Rhône, les habitants/logements de Paris, Lyon et Marseille ont été comptés en double (en sommant la population de la commune et celle de ses arrondissements). Ceci a induit une erreur dans les taux de délinquance pour 1 000 habitant</w:t>
      </w:r>
      <w:r>
        <w:rPr>
          <w:rFonts w:asciiTheme="minorHAnsi" w:eastAsiaTheme="minorHAnsi" w:hAnsiTheme="minorHAnsi" w:cstheme="minorBidi"/>
          <w:lang w:eastAsia="en-US"/>
        </w:rPr>
        <w:t>s/logements de ces départements</w:t>
      </w:r>
      <w:r w:rsidR="00661E59">
        <w:rPr>
          <w:rFonts w:asciiTheme="minorHAnsi" w:eastAsiaTheme="minorHAnsi" w:hAnsiTheme="minorHAnsi" w:cstheme="minorBidi"/>
          <w:lang w:eastAsia="en-US"/>
        </w:rPr>
        <w:t>.</w:t>
      </w:r>
    </w:p>
    <w:p w14:paraId="33A6F131" w14:textId="55830DAB" w:rsidR="000A393B" w:rsidRDefault="00112234" w:rsidP="00AD3D49">
      <w:pPr>
        <w:pStyle w:val="NormalWeb"/>
        <w:numPr>
          <w:ilvl w:val="0"/>
          <w:numId w:val="6"/>
        </w:numPr>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 xml:space="preserve">Mars </w:t>
      </w:r>
      <w:r w:rsidR="00661E59">
        <w:rPr>
          <w:rFonts w:asciiTheme="minorHAnsi" w:eastAsiaTheme="minorHAnsi" w:hAnsiTheme="minorHAnsi" w:cstheme="minorBidi"/>
          <w:lang w:eastAsia="en-US"/>
        </w:rPr>
        <w:t>2022 : C</w:t>
      </w:r>
      <w:r>
        <w:rPr>
          <w:rFonts w:asciiTheme="minorHAnsi" w:eastAsiaTheme="minorHAnsi" w:hAnsiTheme="minorHAnsi" w:cstheme="minorBidi"/>
          <w:lang w:eastAsia="en-US"/>
        </w:rPr>
        <w:t>réation des bases communale et départementale</w:t>
      </w:r>
      <w:r w:rsidR="00A23FFF">
        <w:rPr>
          <w:rFonts w:asciiTheme="minorHAnsi" w:eastAsiaTheme="minorHAnsi" w:hAnsiTheme="minorHAnsi" w:cstheme="minorBidi"/>
          <w:lang w:eastAsia="en-US"/>
        </w:rPr>
        <w:t>.</w:t>
      </w:r>
      <w:bookmarkStart w:id="0" w:name="_GoBack"/>
      <w:bookmarkEnd w:id="0"/>
    </w:p>
    <w:p w14:paraId="38CBDDD3" w14:textId="77777777" w:rsidR="000A393B" w:rsidRDefault="000A393B" w:rsidP="000A393B">
      <w:pPr>
        <w:pStyle w:val="NormalWeb"/>
        <w:spacing w:before="0" w:beforeAutospacing="0" w:after="0" w:afterAutospacing="0"/>
        <w:rPr>
          <w:rFonts w:asciiTheme="minorHAnsi" w:eastAsiaTheme="minorHAnsi" w:hAnsiTheme="minorHAnsi" w:cstheme="minorBidi"/>
          <w:lang w:eastAsia="en-US"/>
        </w:rPr>
      </w:pPr>
    </w:p>
    <w:p w14:paraId="600195C2" w14:textId="3D7E747B" w:rsidR="00125DF8" w:rsidRDefault="00947E5F" w:rsidP="00D13DF8">
      <w:pPr>
        <w:pStyle w:val="NormalWeb"/>
        <w:spacing w:before="0" w:beforeAutospacing="0" w:after="0" w:afterAutospacing="0"/>
        <w:jc w:val="both"/>
        <w:rPr>
          <w:rFonts w:asciiTheme="minorHAnsi" w:eastAsiaTheme="minorHAnsi" w:hAnsiTheme="minorHAnsi" w:cstheme="minorBidi"/>
          <w:lang w:eastAsia="en-US"/>
        </w:rPr>
      </w:pPr>
      <w:r w:rsidRPr="009113E1">
        <w:rPr>
          <w:rFonts w:asciiTheme="minorHAnsi" w:eastAsiaTheme="minorHAnsi" w:hAnsiTheme="minorHAnsi" w:cstheme="minorHAnsi"/>
          <w:lang w:eastAsia="en-US"/>
        </w:rPr>
        <w:t>Les indicateurs font référence</w:t>
      </w:r>
      <w:r w:rsidRPr="007A5FAC">
        <w:rPr>
          <w:rFonts w:asciiTheme="minorHAnsi" w:eastAsiaTheme="minorHAnsi" w:hAnsiTheme="minorHAnsi" w:cstheme="minorHAnsi"/>
          <w:lang w:eastAsia="en-US"/>
        </w:rPr>
        <w:t xml:space="preserve">, chaque année, aux infractions comptabilisées </w:t>
      </w:r>
      <w:r w:rsidRPr="006C7166">
        <w:rPr>
          <w:rFonts w:asciiTheme="minorHAnsi" w:eastAsiaTheme="minorHAnsi" w:hAnsiTheme="minorHAnsi" w:cstheme="minorHAnsi"/>
          <w:lang w:eastAsia="en-US"/>
        </w:rPr>
        <w:t xml:space="preserve">au cours des 12 mois d’enregistrement, avec quelques cas particuliers (pour plus de détails : </w:t>
      </w:r>
      <w:r w:rsidR="009113E1" w:rsidRPr="00AD3D49">
        <w:rPr>
          <w:rFonts w:asciiTheme="minorHAnsi" w:hAnsiTheme="minorHAnsi" w:cstheme="minorHAnsi"/>
        </w:rPr>
        <w:t>https://www.interieur.gouv.fr/Interstats/Publications/Interstats-Methode</w:t>
      </w:r>
      <w:r w:rsidR="009113E1" w:rsidRPr="009113E1">
        <w:rPr>
          <w:rFonts w:asciiTheme="minorHAnsi" w:hAnsiTheme="minorHAnsi" w:cstheme="minorHAnsi"/>
          <w:lang w:eastAsia="en-US"/>
        </w:rPr>
        <w:t xml:space="preserve"> - </w:t>
      </w:r>
      <w:r w:rsidRPr="007A5FAC">
        <w:rPr>
          <w:rFonts w:asciiTheme="minorHAnsi" w:eastAsiaTheme="minorHAnsi" w:hAnsiTheme="minorHAnsi" w:cstheme="minorHAnsi"/>
          <w:lang w:eastAsia="en-US"/>
        </w:rPr>
        <w:t>Interstats Méthod</w:t>
      </w:r>
      <w:r w:rsidRPr="000354C3">
        <w:rPr>
          <w:rFonts w:asciiTheme="minorHAnsi" w:eastAsiaTheme="minorHAnsi" w:hAnsiTheme="minorHAnsi" w:cstheme="minorBidi"/>
          <w:lang w:eastAsia="en-US"/>
        </w:rPr>
        <w:t xml:space="preserve">e n°2 et </w:t>
      </w:r>
      <w:r w:rsidR="007A5FAC" w:rsidRPr="000354C3">
        <w:rPr>
          <w:rFonts w:asciiTheme="minorHAnsi" w:eastAsiaTheme="minorHAnsi" w:hAnsiTheme="minorHAnsi" w:cstheme="minorBidi"/>
          <w:lang w:eastAsia="en-US"/>
        </w:rPr>
        <w:t>n°</w:t>
      </w:r>
      <w:r w:rsidRPr="000354C3">
        <w:rPr>
          <w:rFonts w:asciiTheme="minorHAnsi" w:eastAsiaTheme="minorHAnsi" w:hAnsiTheme="minorHAnsi" w:cstheme="minorBidi"/>
          <w:lang w:eastAsia="en-US"/>
        </w:rPr>
        <w:t xml:space="preserve">3). Les requalifications </w:t>
      </w:r>
      <w:r>
        <w:rPr>
          <w:rFonts w:asciiTheme="minorHAnsi" w:eastAsiaTheme="minorHAnsi" w:hAnsiTheme="minorHAnsi" w:cstheme="minorBidi"/>
          <w:lang w:eastAsia="en-US"/>
        </w:rPr>
        <w:t>des infractions</w:t>
      </w:r>
      <w:r w:rsidRPr="000354C3">
        <w:rPr>
          <w:rFonts w:asciiTheme="minorHAnsi" w:eastAsiaTheme="minorHAnsi" w:hAnsiTheme="minorHAnsi" w:cstheme="minorBidi"/>
          <w:lang w:eastAsia="en-US"/>
        </w:rPr>
        <w:t>, y compris les suppressions, sont prises en compte</w:t>
      </w:r>
      <w:r>
        <w:rPr>
          <w:rFonts w:asciiTheme="minorHAnsi" w:eastAsiaTheme="minorHAnsi" w:hAnsiTheme="minorHAnsi" w:cstheme="minorBidi"/>
          <w:lang w:eastAsia="en-US"/>
        </w:rPr>
        <w:t xml:space="preserve"> </w:t>
      </w:r>
      <w:r w:rsidRPr="000354C3">
        <w:rPr>
          <w:rFonts w:asciiTheme="minorHAnsi" w:eastAsiaTheme="minorHAnsi" w:hAnsiTheme="minorHAnsi" w:cstheme="minorBidi"/>
          <w:lang w:eastAsia="en-US"/>
        </w:rPr>
        <w:t xml:space="preserve">jusqu’à la date à laquelle sont arrêtées les comptabilisations, c’est-à-dire, pour chaque </w:t>
      </w:r>
      <w:r>
        <w:rPr>
          <w:rFonts w:asciiTheme="minorHAnsi" w:eastAsiaTheme="minorHAnsi" w:hAnsiTheme="minorHAnsi" w:cstheme="minorBidi"/>
          <w:lang w:eastAsia="en-US"/>
        </w:rPr>
        <w:t>année</w:t>
      </w:r>
      <w:r w:rsidRPr="000354C3">
        <w:rPr>
          <w:rFonts w:asciiTheme="minorHAnsi" w:eastAsiaTheme="minorHAnsi" w:hAnsiTheme="minorHAnsi" w:cstheme="minorBidi"/>
          <w:lang w:eastAsia="en-US"/>
        </w:rPr>
        <w:t xml:space="preserve">, </w:t>
      </w:r>
      <w:r w:rsidRPr="00645753">
        <w:rPr>
          <w:rFonts w:asciiTheme="minorHAnsi" w:eastAsiaTheme="minorHAnsi" w:hAnsiTheme="minorHAnsi" w:cstheme="minorBidi"/>
          <w:lang w:eastAsia="en-US"/>
        </w:rPr>
        <w:t xml:space="preserve">au début du mois </w:t>
      </w:r>
      <w:r w:rsidR="00C2251C">
        <w:rPr>
          <w:rFonts w:asciiTheme="minorHAnsi" w:eastAsiaTheme="minorHAnsi" w:hAnsiTheme="minorHAnsi" w:cstheme="minorBidi"/>
          <w:lang w:eastAsia="en-US"/>
        </w:rPr>
        <w:t>d’avril</w:t>
      </w:r>
      <w:r w:rsidRPr="00645753">
        <w:rPr>
          <w:rFonts w:asciiTheme="minorHAnsi" w:eastAsiaTheme="minorHAnsi" w:hAnsiTheme="minorHAnsi" w:cstheme="minorBidi"/>
          <w:lang w:eastAsia="en-US"/>
        </w:rPr>
        <w:t xml:space="preserve"> de l’année suivante</w:t>
      </w:r>
      <w:r w:rsidRPr="000354C3">
        <w:rPr>
          <w:rFonts w:asciiTheme="minorHAnsi" w:eastAsiaTheme="minorHAnsi" w:hAnsiTheme="minorHAnsi" w:cstheme="minorBidi"/>
          <w:lang w:eastAsia="en-US"/>
        </w:rPr>
        <w:t>.</w:t>
      </w:r>
      <w:r w:rsidR="0082745C">
        <w:rPr>
          <w:rFonts w:asciiTheme="minorHAnsi" w:eastAsiaTheme="minorHAnsi" w:hAnsiTheme="minorHAnsi" w:cstheme="minorBidi"/>
          <w:lang w:eastAsia="en-US"/>
        </w:rPr>
        <w:t xml:space="preserve"> </w:t>
      </w:r>
      <w:r w:rsidRPr="000354C3">
        <w:rPr>
          <w:rFonts w:asciiTheme="minorHAnsi" w:eastAsiaTheme="minorHAnsi" w:hAnsiTheme="minorHAnsi" w:cstheme="minorBidi"/>
          <w:lang w:eastAsia="en-US"/>
        </w:rPr>
        <w:t>Deux éléments sont à prendre en compte dans l’interprétation du niveau des indicateurs :</w:t>
      </w:r>
    </w:p>
    <w:p w14:paraId="3774A7FE" w14:textId="48C7F19D" w:rsidR="006C7166" w:rsidRDefault="00947E5F" w:rsidP="00AD3D49">
      <w:pPr>
        <w:pStyle w:val="NormalWeb"/>
        <w:numPr>
          <w:ilvl w:val="0"/>
          <w:numId w:val="8"/>
        </w:numPr>
        <w:spacing w:before="0" w:beforeAutospacing="0" w:after="0" w:afterAutospacing="0"/>
        <w:jc w:val="both"/>
        <w:rPr>
          <w:rFonts w:asciiTheme="minorHAnsi" w:eastAsiaTheme="minorHAnsi" w:hAnsiTheme="minorHAnsi" w:cstheme="minorBidi"/>
          <w:lang w:eastAsia="en-US"/>
        </w:rPr>
      </w:pPr>
      <w:r w:rsidRPr="000354C3">
        <w:rPr>
          <w:rFonts w:asciiTheme="minorHAnsi" w:eastAsiaTheme="minorHAnsi" w:hAnsiTheme="minorHAnsi" w:cstheme="minorBidi"/>
          <w:lang w:eastAsia="en-US"/>
        </w:rPr>
        <w:t>le délai d’enregistrement, qui peut créer un décalage temporel entre le moment où les infractions se sont déroulées et le moment où elles sont comptabilisées;</w:t>
      </w:r>
    </w:p>
    <w:p w14:paraId="4F5E12CA" w14:textId="3AB7C7B1" w:rsidR="006E4B75" w:rsidRDefault="00947E5F" w:rsidP="00AD3D49">
      <w:pPr>
        <w:pStyle w:val="NormalWeb"/>
        <w:numPr>
          <w:ilvl w:val="0"/>
          <w:numId w:val="8"/>
        </w:numPr>
        <w:spacing w:before="0" w:beforeAutospacing="0" w:after="0" w:afterAutospacing="0"/>
        <w:jc w:val="both"/>
        <w:rPr>
          <w:rFonts w:asciiTheme="minorHAnsi" w:eastAsiaTheme="minorHAnsi" w:hAnsiTheme="minorHAnsi" w:cstheme="minorBidi"/>
          <w:lang w:eastAsia="en-US"/>
        </w:rPr>
      </w:pPr>
      <w:r w:rsidRPr="000354C3">
        <w:rPr>
          <w:rFonts w:asciiTheme="minorHAnsi" w:eastAsiaTheme="minorHAnsi" w:hAnsiTheme="minorHAnsi" w:cstheme="minorBidi"/>
          <w:lang w:eastAsia="en-US"/>
        </w:rPr>
        <w:t>le taux de dépôt de plainte a un impact sur le niveau de la délinquance enregistrée. Les enquêtes Cadre de vie et sécurité (</w:t>
      </w:r>
      <w:hyperlink r:id="rId10" w:history="1">
        <w:r w:rsidRPr="003354DB">
          <w:rPr>
            <w:rStyle w:val="Lienhypertexte"/>
            <w:rFonts w:asciiTheme="minorHAnsi" w:eastAsiaTheme="minorHAnsi" w:hAnsiTheme="minorHAnsi" w:cstheme="minorBidi"/>
            <w:lang w:eastAsia="en-US"/>
          </w:rPr>
          <w:t>https://www.data.gouv.fr/fr/datasets/indicateurs-annuels-de-la-victimation-et-du-sentiment-dinsecurite-issus-des-enquetes-cadre-de-vie-et-securite/</w:t>
        </w:r>
      </w:hyperlink>
      <w:r w:rsidRPr="007167CA">
        <w:rPr>
          <w:rFonts w:asciiTheme="minorHAnsi" w:eastAsiaTheme="minorHAnsi" w:hAnsiTheme="minorHAnsi" w:cstheme="minorBidi"/>
          <w:lang w:eastAsia="en-US"/>
        </w:rPr>
        <w:t xml:space="preserve"> </w:t>
      </w:r>
      <w:r>
        <w:rPr>
          <w:rFonts w:asciiTheme="minorHAnsi" w:eastAsiaTheme="minorHAnsi" w:hAnsiTheme="minorHAnsi" w:cstheme="minorBidi"/>
          <w:lang w:eastAsia="en-US"/>
        </w:rPr>
        <w:t xml:space="preserve">et </w:t>
      </w:r>
      <w:hyperlink r:id="rId11" w:history="1">
        <w:r w:rsidRPr="003354DB">
          <w:rPr>
            <w:rStyle w:val="Lienhypertexte"/>
            <w:rFonts w:asciiTheme="minorHAnsi" w:eastAsiaTheme="minorHAnsi" w:hAnsiTheme="minorHAnsi" w:cstheme="minorBidi"/>
            <w:lang w:eastAsia="en-US"/>
          </w:rPr>
          <w:t>https://www.interieur.gouv.fr/Interstats/L-enquete-Cadre-de-vie-et-securite-CVS</w:t>
        </w:r>
      </w:hyperlink>
      <w:r w:rsidRPr="000354C3">
        <w:rPr>
          <w:rFonts w:asciiTheme="minorHAnsi" w:eastAsiaTheme="minorHAnsi" w:hAnsiTheme="minorHAnsi" w:cstheme="minorBidi"/>
          <w:lang w:eastAsia="en-US"/>
        </w:rPr>
        <w:t xml:space="preserve">) </w:t>
      </w:r>
      <w:r>
        <w:rPr>
          <w:rFonts w:asciiTheme="minorHAnsi" w:eastAsiaTheme="minorHAnsi" w:hAnsiTheme="minorHAnsi" w:cstheme="minorBidi"/>
          <w:lang w:eastAsia="en-US"/>
        </w:rPr>
        <w:t xml:space="preserve">permettent </w:t>
      </w:r>
      <w:r w:rsidRPr="000354C3">
        <w:rPr>
          <w:rFonts w:asciiTheme="minorHAnsi" w:eastAsiaTheme="minorHAnsi" w:hAnsiTheme="minorHAnsi" w:cstheme="minorBidi"/>
          <w:lang w:eastAsia="en-US"/>
        </w:rPr>
        <w:t>d’évaluer les taux de plainte. Ainsi par exemple selon ce</w:t>
      </w:r>
      <w:r>
        <w:rPr>
          <w:rFonts w:asciiTheme="minorHAnsi" w:eastAsiaTheme="minorHAnsi" w:hAnsiTheme="minorHAnsi" w:cstheme="minorBidi"/>
          <w:lang w:eastAsia="en-US"/>
        </w:rPr>
        <w:t>s</w:t>
      </w:r>
      <w:r w:rsidRPr="000354C3">
        <w:rPr>
          <w:rFonts w:asciiTheme="minorHAnsi" w:eastAsiaTheme="minorHAnsi" w:hAnsiTheme="minorHAnsi" w:cstheme="minorBidi"/>
          <w:lang w:eastAsia="en-US"/>
        </w:rPr>
        <w:t xml:space="preserve"> enquête</w:t>
      </w:r>
      <w:r>
        <w:rPr>
          <w:rFonts w:asciiTheme="minorHAnsi" w:eastAsiaTheme="minorHAnsi" w:hAnsiTheme="minorHAnsi" w:cstheme="minorBidi"/>
          <w:lang w:eastAsia="en-US"/>
        </w:rPr>
        <w:t>s</w:t>
      </w:r>
      <w:r w:rsidRPr="000354C3">
        <w:rPr>
          <w:rFonts w:asciiTheme="minorHAnsi" w:eastAsiaTheme="minorHAnsi" w:hAnsiTheme="minorHAnsi" w:cstheme="minorBidi"/>
          <w:lang w:eastAsia="en-US"/>
        </w:rPr>
        <w:t xml:space="preserve"> en moyenne sur la période 2011-2018 seules 12 %</w:t>
      </w:r>
      <w:r>
        <w:rPr>
          <w:rFonts w:asciiTheme="minorHAnsi" w:eastAsiaTheme="minorHAnsi" w:hAnsiTheme="minorHAnsi" w:cstheme="minorBidi"/>
          <w:lang w:eastAsia="en-US"/>
        </w:rPr>
        <w:t xml:space="preserve"> </w:t>
      </w:r>
      <w:r w:rsidRPr="000354C3">
        <w:rPr>
          <w:rFonts w:asciiTheme="minorHAnsi" w:eastAsiaTheme="minorHAnsi" w:hAnsiTheme="minorHAnsi" w:cstheme="minorBidi"/>
          <w:lang w:eastAsia="en-US"/>
        </w:rPr>
        <w:t>des victimes de violences sexuelles hors ménage portent plainte, contre 74 % pour les victimes de cambriolages.</w:t>
      </w:r>
    </w:p>
    <w:p w14:paraId="24E82162" w14:textId="398CE0FD" w:rsidR="00243323" w:rsidRDefault="00E306B9" w:rsidP="004C7A3D">
      <w:pPr>
        <w:pStyle w:val="NormalWeb"/>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 xml:space="preserve">Les indicateurs relatifs aux infractions à la législation sur les stupéfiants </w:t>
      </w:r>
      <w:r w:rsidR="009D45BD">
        <w:rPr>
          <w:rFonts w:asciiTheme="minorHAnsi" w:eastAsiaTheme="minorHAnsi" w:hAnsiTheme="minorHAnsi" w:cstheme="minorBidi"/>
          <w:lang w:eastAsia="en-US"/>
        </w:rPr>
        <w:t xml:space="preserve">(ILS) </w:t>
      </w:r>
      <w:r>
        <w:rPr>
          <w:rFonts w:asciiTheme="minorHAnsi" w:eastAsiaTheme="minorHAnsi" w:hAnsiTheme="minorHAnsi" w:cstheme="minorBidi"/>
          <w:lang w:eastAsia="en-US"/>
        </w:rPr>
        <w:t xml:space="preserve">correspondent au nombre de mis en cause </w:t>
      </w:r>
      <w:r w:rsidR="009D45BD">
        <w:rPr>
          <w:rFonts w:asciiTheme="minorHAnsi" w:eastAsiaTheme="minorHAnsi" w:hAnsiTheme="minorHAnsi" w:cstheme="minorBidi"/>
          <w:lang w:eastAsia="en-US"/>
        </w:rPr>
        <w:t xml:space="preserve">pour usage ou trafic dont l’infraction a été élucidée sur la période considérée. </w:t>
      </w:r>
      <w:r w:rsidR="00CE378D">
        <w:rPr>
          <w:rFonts w:asciiTheme="minorHAnsi" w:eastAsiaTheme="minorHAnsi" w:hAnsiTheme="minorHAnsi" w:cstheme="minorBidi"/>
          <w:lang w:eastAsia="en-US"/>
        </w:rPr>
        <w:t xml:space="preserve">La date d’élucidation correspond à la </w:t>
      </w:r>
      <w:r w:rsidR="00CE378D" w:rsidRPr="00CE378D">
        <w:rPr>
          <w:rFonts w:asciiTheme="minorHAnsi" w:eastAsiaTheme="minorHAnsi" w:hAnsiTheme="minorHAnsi" w:cstheme="minorBidi"/>
          <w:lang w:eastAsia="en-US"/>
        </w:rPr>
        <w:t>date à laquelle le mis en cause a été entendu d</w:t>
      </w:r>
      <w:r w:rsidR="00CE378D">
        <w:rPr>
          <w:rFonts w:asciiTheme="minorHAnsi" w:eastAsiaTheme="minorHAnsi" w:hAnsiTheme="minorHAnsi" w:cstheme="minorBidi"/>
          <w:lang w:eastAsia="en-US"/>
        </w:rPr>
        <w:t xml:space="preserve">ans les données de la police et </w:t>
      </w:r>
      <w:r w:rsidR="00CE378D" w:rsidRPr="00CE378D">
        <w:rPr>
          <w:rFonts w:asciiTheme="minorHAnsi" w:eastAsiaTheme="minorHAnsi" w:hAnsiTheme="minorHAnsi" w:cstheme="minorBidi"/>
          <w:lang w:eastAsia="en-US"/>
        </w:rPr>
        <w:t xml:space="preserve">à la date de clôture de la procédure dans les données de gendarmerie. </w:t>
      </w:r>
      <w:r w:rsidR="00853AF3">
        <w:rPr>
          <w:rFonts w:asciiTheme="minorHAnsi" w:eastAsiaTheme="minorHAnsi" w:hAnsiTheme="minorHAnsi" w:cstheme="minorBidi"/>
          <w:lang w:eastAsia="en-US"/>
        </w:rPr>
        <w:t>Un</w:t>
      </w:r>
      <w:r w:rsidR="00E72014">
        <w:rPr>
          <w:rFonts w:asciiTheme="minorHAnsi" w:eastAsiaTheme="minorHAnsi" w:hAnsiTheme="minorHAnsi" w:cstheme="minorBidi"/>
          <w:lang w:eastAsia="en-US"/>
        </w:rPr>
        <w:t xml:space="preserve"> </w:t>
      </w:r>
      <w:r w:rsidR="00853AF3">
        <w:rPr>
          <w:rFonts w:asciiTheme="minorHAnsi" w:eastAsiaTheme="minorHAnsi" w:hAnsiTheme="minorHAnsi" w:cstheme="minorBidi"/>
          <w:lang w:eastAsia="en-US"/>
        </w:rPr>
        <w:t>mis en cause donné n’est compté qu’une seule fois</w:t>
      </w:r>
      <w:r w:rsidR="00BA755C">
        <w:rPr>
          <w:rFonts w:asciiTheme="minorHAnsi" w:eastAsiaTheme="minorHAnsi" w:hAnsiTheme="minorHAnsi" w:cstheme="minorBidi"/>
          <w:lang w:eastAsia="en-US"/>
        </w:rPr>
        <w:t xml:space="preserve"> par</w:t>
      </w:r>
      <w:r w:rsidR="00853AF3">
        <w:rPr>
          <w:rFonts w:asciiTheme="minorHAnsi" w:eastAsiaTheme="minorHAnsi" w:hAnsiTheme="minorHAnsi" w:cstheme="minorBidi"/>
          <w:lang w:eastAsia="en-US"/>
        </w:rPr>
        <w:t xml:space="preserve"> unité spatiale </w:t>
      </w:r>
      <w:r w:rsidR="00BA755C">
        <w:rPr>
          <w:rFonts w:asciiTheme="minorHAnsi" w:eastAsiaTheme="minorHAnsi" w:hAnsiTheme="minorHAnsi" w:cstheme="minorBidi"/>
          <w:lang w:eastAsia="en-US"/>
        </w:rPr>
        <w:t xml:space="preserve">considérée. </w:t>
      </w:r>
      <w:r w:rsidR="0026773C">
        <w:rPr>
          <w:rFonts w:asciiTheme="minorHAnsi" w:eastAsiaTheme="minorHAnsi" w:hAnsiTheme="minorHAnsi" w:cstheme="minorBidi"/>
          <w:lang w:eastAsia="en-US"/>
        </w:rPr>
        <w:t>Par exemple, un mis en cause pour des faits de trafic de stupéfiants dans deux communes voisines du même dépa</w:t>
      </w:r>
      <w:r w:rsidR="003F1428">
        <w:rPr>
          <w:rFonts w:asciiTheme="minorHAnsi" w:eastAsiaTheme="minorHAnsi" w:hAnsiTheme="minorHAnsi" w:cstheme="minorBidi"/>
          <w:lang w:eastAsia="en-US"/>
        </w:rPr>
        <w:t xml:space="preserve">rtement sera compté une fois pour chacune des deux communes mais qu’une seule fois pour le nombre de mis en cause du département. </w:t>
      </w:r>
      <w:r w:rsidR="00BA755C">
        <w:rPr>
          <w:rFonts w:asciiTheme="minorHAnsi" w:eastAsiaTheme="minorHAnsi" w:hAnsiTheme="minorHAnsi" w:cstheme="minorBidi"/>
          <w:lang w:eastAsia="en-US"/>
        </w:rPr>
        <w:t xml:space="preserve">Ainsi, </w:t>
      </w:r>
      <w:r w:rsidR="00763C13">
        <w:rPr>
          <w:rFonts w:asciiTheme="minorHAnsi" w:eastAsiaTheme="minorHAnsi" w:hAnsiTheme="minorHAnsi" w:cstheme="minorBidi"/>
          <w:lang w:eastAsia="en-US"/>
        </w:rPr>
        <w:t>le nombre de mis en cause d’un échelon territorial n’</w:t>
      </w:r>
      <w:r w:rsidR="00934E87">
        <w:rPr>
          <w:rFonts w:asciiTheme="minorHAnsi" w:eastAsiaTheme="minorHAnsi" w:hAnsiTheme="minorHAnsi" w:cstheme="minorBidi"/>
          <w:lang w:eastAsia="en-US"/>
        </w:rPr>
        <w:t>est pas égal</w:t>
      </w:r>
      <w:r w:rsidR="00763C13">
        <w:rPr>
          <w:rFonts w:asciiTheme="minorHAnsi" w:eastAsiaTheme="minorHAnsi" w:hAnsiTheme="minorHAnsi" w:cstheme="minorBidi"/>
          <w:lang w:eastAsia="en-US"/>
        </w:rPr>
        <w:t xml:space="preserve"> à </w:t>
      </w:r>
      <w:r w:rsidR="00BA755C">
        <w:rPr>
          <w:rFonts w:asciiTheme="minorHAnsi" w:eastAsiaTheme="minorHAnsi" w:hAnsiTheme="minorHAnsi" w:cstheme="minorBidi"/>
          <w:lang w:eastAsia="en-US"/>
        </w:rPr>
        <w:t xml:space="preserve">la somme des mis en cause </w:t>
      </w:r>
      <w:r w:rsidR="00934E87">
        <w:rPr>
          <w:rFonts w:asciiTheme="minorHAnsi" w:eastAsiaTheme="minorHAnsi" w:hAnsiTheme="minorHAnsi" w:cstheme="minorBidi"/>
          <w:lang w:eastAsia="en-US"/>
        </w:rPr>
        <w:t xml:space="preserve">de l’échelon </w:t>
      </w:r>
      <w:r w:rsidR="00183958">
        <w:rPr>
          <w:rFonts w:asciiTheme="minorHAnsi" w:eastAsiaTheme="minorHAnsi" w:hAnsiTheme="minorHAnsi" w:cstheme="minorBidi"/>
          <w:lang w:eastAsia="en-US"/>
        </w:rPr>
        <w:t xml:space="preserve">territoriale </w:t>
      </w:r>
      <w:r w:rsidR="00763C13">
        <w:rPr>
          <w:rFonts w:asciiTheme="minorHAnsi" w:eastAsiaTheme="minorHAnsi" w:hAnsiTheme="minorHAnsi" w:cstheme="minorBidi"/>
          <w:lang w:eastAsia="en-US"/>
        </w:rPr>
        <w:t>inférieur.</w:t>
      </w:r>
    </w:p>
    <w:p w14:paraId="3D57D32B" w14:textId="77777777" w:rsidR="00A32AB1" w:rsidRDefault="00A32AB1" w:rsidP="003014B0">
      <w:pPr>
        <w:pStyle w:val="NormalWeb"/>
        <w:spacing w:before="0" w:beforeAutospacing="0" w:after="0" w:afterAutospacing="0"/>
        <w:rPr>
          <w:rFonts w:asciiTheme="minorHAnsi" w:eastAsiaTheme="minorHAnsi" w:hAnsiTheme="minorHAnsi" w:cstheme="minorBidi"/>
          <w:lang w:eastAsia="en-US"/>
        </w:rPr>
      </w:pPr>
    </w:p>
    <w:p w14:paraId="15595ABA" w14:textId="0809CEFB" w:rsidR="006E4B75" w:rsidRPr="00A32AB1" w:rsidRDefault="006E4B75" w:rsidP="00CA39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lang w:eastAsia="en-US"/>
        </w:rPr>
      </w:pPr>
      <w:r w:rsidRPr="00A32AB1">
        <w:rPr>
          <w:rFonts w:asciiTheme="minorHAnsi" w:eastAsiaTheme="minorHAnsi" w:hAnsiTheme="minorHAnsi" w:cstheme="minorBidi"/>
          <w:lang w:eastAsia="en-US"/>
        </w:rPr>
        <w:t>Les variables de</w:t>
      </w:r>
      <w:r w:rsidR="00481BDE">
        <w:rPr>
          <w:rFonts w:asciiTheme="minorHAnsi" w:eastAsiaTheme="minorHAnsi" w:hAnsiTheme="minorHAnsi" w:cstheme="minorBidi"/>
          <w:lang w:eastAsia="en-US"/>
        </w:rPr>
        <w:t>s</w:t>
      </w:r>
      <w:r w:rsidRPr="00A32AB1">
        <w:rPr>
          <w:rFonts w:asciiTheme="minorHAnsi" w:eastAsiaTheme="minorHAnsi" w:hAnsiTheme="minorHAnsi" w:cstheme="minorBidi"/>
          <w:lang w:eastAsia="en-US"/>
        </w:rPr>
        <w:t xml:space="preserve"> base</w:t>
      </w:r>
      <w:r w:rsidR="00481BDE">
        <w:rPr>
          <w:rFonts w:asciiTheme="minorHAnsi" w:eastAsiaTheme="minorHAnsi" w:hAnsiTheme="minorHAnsi" w:cstheme="minorBidi"/>
          <w:lang w:eastAsia="en-US"/>
        </w:rPr>
        <w:t>s</w:t>
      </w:r>
      <w:r w:rsidRPr="00A32AB1">
        <w:rPr>
          <w:rFonts w:asciiTheme="minorHAnsi" w:eastAsiaTheme="minorHAnsi" w:hAnsiTheme="minorHAnsi" w:cstheme="minorBidi"/>
          <w:lang w:eastAsia="en-US"/>
        </w:rPr>
        <w:t xml:space="preserve"> communale</w:t>
      </w:r>
      <w:r w:rsidR="005F7726">
        <w:rPr>
          <w:rFonts w:asciiTheme="minorHAnsi" w:eastAsiaTheme="minorHAnsi" w:hAnsiTheme="minorHAnsi" w:cstheme="minorBidi"/>
          <w:lang w:eastAsia="en-US"/>
        </w:rPr>
        <w:t xml:space="preserve">, </w:t>
      </w:r>
      <w:r w:rsidR="00481BDE">
        <w:rPr>
          <w:rFonts w:asciiTheme="minorHAnsi" w:eastAsiaTheme="minorHAnsi" w:hAnsiTheme="minorHAnsi" w:cstheme="minorBidi"/>
          <w:lang w:eastAsia="en-US"/>
        </w:rPr>
        <w:t>départementale</w:t>
      </w:r>
      <w:r w:rsidR="005F7726">
        <w:rPr>
          <w:rFonts w:asciiTheme="minorHAnsi" w:eastAsiaTheme="minorHAnsi" w:hAnsiTheme="minorHAnsi" w:cstheme="minorBidi"/>
          <w:lang w:eastAsia="en-US"/>
        </w:rPr>
        <w:t xml:space="preserve"> et régionale</w:t>
      </w:r>
      <w:r w:rsidR="00EA08FE">
        <w:rPr>
          <w:rFonts w:asciiTheme="minorHAnsi" w:eastAsiaTheme="minorHAnsi" w:hAnsiTheme="minorHAnsi" w:cstheme="minorBidi"/>
          <w:lang w:eastAsia="en-US"/>
        </w:rPr>
        <w:t xml:space="preserve"> </w:t>
      </w:r>
      <w:r w:rsidRPr="00A32AB1">
        <w:rPr>
          <w:rFonts w:asciiTheme="minorHAnsi" w:eastAsiaTheme="minorHAnsi" w:hAnsiTheme="minorHAnsi" w:cstheme="minorBidi"/>
          <w:lang w:eastAsia="en-US"/>
        </w:rPr>
        <w:t>sont</w:t>
      </w:r>
      <w:r w:rsidR="00A32AB1" w:rsidRPr="00A32AB1">
        <w:rPr>
          <w:rFonts w:asciiTheme="minorHAnsi" w:eastAsiaTheme="minorHAnsi" w:hAnsiTheme="minorHAnsi" w:cstheme="minorBidi"/>
          <w:lang w:eastAsia="en-US"/>
        </w:rPr>
        <w:t> :</w:t>
      </w:r>
    </w:p>
    <w:p w14:paraId="581975E2" w14:textId="77777777" w:rsidR="00A32AB1" w:rsidRPr="00A32AB1" w:rsidRDefault="00A32AB1" w:rsidP="00CA39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lang w:eastAsia="en-US"/>
        </w:rPr>
      </w:pPr>
    </w:p>
    <w:p w14:paraId="7F4817F7" w14:textId="35BFAD5E" w:rsidR="00376A82" w:rsidRDefault="006E4B75" w:rsidP="00CA39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lang w:eastAsia="en-US"/>
        </w:rPr>
      </w:pPr>
      <w:r w:rsidRPr="00CA391D">
        <w:rPr>
          <w:rFonts w:asciiTheme="minorHAnsi" w:eastAsiaTheme="minorHAnsi" w:hAnsiTheme="minorHAnsi" w:cstheme="minorBidi"/>
          <w:lang w:eastAsia="en-US"/>
        </w:rPr>
        <w:t xml:space="preserve">- </w:t>
      </w:r>
      <w:r w:rsidR="007F6824">
        <w:rPr>
          <w:rFonts w:asciiTheme="minorHAnsi" w:eastAsiaTheme="minorHAnsi" w:hAnsiTheme="minorHAnsi" w:cstheme="minorBidi"/>
          <w:lang w:eastAsia="en-US"/>
        </w:rPr>
        <w:t>L</w:t>
      </w:r>
      <w:r w:rsidR="007F6824" w:rsidRPr="00CA391D">
        <w:rPr>
          <w:rFonts w:asciiTheme="minorHAnsi" w:eastAsiaTheme="minorHAnsi" w:hAnsiTheme="minorHAnsi" w:cstheme="minorBidi"/>
          <w:lang w:eastAsia="en-US"/>
        </w:rPr>
        <w:t xml:space="preserve">e </w:t>
      </w:r>
      <w:r w:rsidRPr="00CA391D">
        <w:rPr>
          <w:rFonts w:asciiTheme="minorHAnsi" w:eastAsiaTheme="minorHAnsi" w:hAnsiTheme="minorHAnsi" w:cstheme="minorBidi"/>
          <w:lang w:eastAsia="en-US"/>
        </w:rPr>
        <w:t>code officiel géographique de la commune</w:t>
      </w:r>
      <w:r w:rsidR="007F6824">
        <w:rPr>
          <w:rFonts w:asciiTheme="minorHAnsi" w:eastAsiaTheme="minorHAnsi" w:hAnsiTheme="minorHAnsi" w:cstheme="minorBidi"/>
          <w:lang w:eastAsia="en-US"/>
        </w:rPr>
        <w:t>.</w:t>
      </w:r>
    </w:p>
    <w:p w14:paraId="115D6E72" w14:textId="3AB09A79" w:rsidR="006E4B75" w:rsidRPr="00CA391D" w:rsidRDefault="006E4B75" w:rsidP="00CA39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lang w:eastAsia="en-US"/>
        </w:rPr>
      </w:pPr>
      <w:r w:rsidRPr="00CA391D">
        <w:rPr>
          <w:rFonts w:asciiTheme="minorHAnsi" w:eastAsiaTheme="minorHAnsi" w:hAnsiTheme="minorHAnsi" w:cstheme="minorBidi"/>
          <w:lang w:eastAsia="en-US"/>
        </w:rPr>
        <w:t xml:space="preserve">- </w:t>
      </w:r>
      <w:r w:rsidR="007F6824">
        <w:rPr>
          <w:rFonts w:asciiTheme="minorHAnsi" w:eastAsiaTheme="minorHAnsi" w:hAnsiTheme="minorHAnsi" w:cstheme="minorBidi"/>
          <w:lang w:eastAsia="en-US"/>
        </w:rPr>
        <w:t>L</w:t>
      </w:r>
      <w:r w:rsidR="007F6824" w:rsidRPr="00CA391D">
        <w:rPr>
          <w:rFonts w:asciiTheme="minorHAnsi" w:eastAsiaTheme="minorHAnsi" w:hAnsiTheme="minorHAnsi" w:cstheme="minorBidi"/>
          <w:lang w:eastAsia="en-US"/>
        </w:rPr>
        <w:t xml:space="preserve">’année </w:t>
      </w:r>
      <w:r w:rsidRPr="00CA391D">
        <w:rPr>
          <w:rFonts w:asciiTheme="minorHAnsi" w:eastAsiaTheme="minorHAnsi" w:hAnsiTheme="minorHAnsi" w:cstheme="minorBidi"/>
          <w:lang w:eastAsia="en-US"/>
        </w:rPr>
        <w:t>pendant laquelle la délinquance a été enregistrée</w:t>
      </w:r>
      <w:r w:rsidR="007F6824">
        <w:rPr>
          <w:rFonts w:asciiTheme="minorHAnsi" w:eastAsiaTheme="minorHAnsi" w:hAnsiTheme="minorHAnsi" w:cstheme="minorBidi"/>
          <w:lang w:eastAsia="en-US"/>
        </w:rPr>
        <w:t>.</w:t>
      </w:r>
    </w:p>
    <w:p w14:paraId="7FA4AC60" w14:textId="6B0C5CA6" w:rsidR="006E4B75" w:rsidRPr="00A32AB1" w:rsidRDefault="006E4B75" w:rsidP="00CA39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lang w:eastAsia="en-US"/>
        </w:rPr>
      </w:pPr>
      <w:r w:rsidRPr="00CA391D">
        <w:rPr>
          <w:rFonts w:asciiTheme="minorHAnsi" w:eastAsiaTheme="minorHAnsi" w:hAnsiTheme="minorHAnsi" w:cstheme="minorBidi"/>
          <w:lang w:eastAsia="en-US"/>
        </w:rPr>
        <w:t xml:space="preserve">- </w:t>
      </w:r>
      <w:r w:rsidR="007F6824">
        <w:rPr>
          <w:rFonts w:asciiTheme="minorHAnsi" w:eastAsiaTheme="minorHAnsi" w:hAnsiTheme="minorHAnsi" w:cstheme="minorBidi"/>
          <w:lang w:eastAsia="en-US"/>
        </w:rPr>
        <w:t>L</w:t>
      </w:r>
      <w:r w:rsidR="007F6824" w:rsidRPr="00CA391D">
        <w:rPr>
          <w:rFonts w:asciiTheme="minorHAnsi" w:eastAsiaTheme="minorHAnsi" w:hAnsiTheme="minorHAnsi" w:cstheme="minorBidi"/>
          <w:lang w:eastAsia="en-US"/>
        </w:rPr>
        <w:t xml:space="preserve">’indicateur </w:t>
      </w:r>
      <w:r w:rsidRPr="00CA391D">
        <w:rPr>
          <w:rFonts w:asciiTheme="minorHAnsi" w:eastAsiaTheme="minorHAnsi" w:hAnsiTheme="minorHAnsi" w:cstheme="minorBidi"/>
          <w:lang w:eastAsia="en-US"/>
        </w:rPr>
        <w:t>de</w:t>
      </w:r>
      <w:r w:rsidR="00A32AB1" w:rsidRPr="00CA391D">
        <w:rPr>
          <w:rFonts w:asciiTheme="minorHAnsi" w:eastAsiaTheme="minorHAnsi" w:hAnsiTheme="minorHAnsi" w:cstheme="minorBidi"/>
          <w:lang w:eastAsia="en-US"/>
        </w:rPr>
        <w:t>s crimes et délits</w:t>
      </w:r>
      <w:r w:rsidR="007F6824">
        <w:rPr>
          <w:rFonts w:asciiTheme="minorHAnsi" w:eastAsiaTheme="minorHAnsi" w:hAnsiTheme="minorHAnsi" w:cstheme="minorBidi"/>
          <w:lang w:eastAsia="en-US"/>
        </w:rPr>
        <w:t>.</w:t>
      </w:r>
    </w:p>
    <w:p w14:paraId="658B6F65" w14:textId="671390EF" w:rsidR="006E4B75" w:rsidRPr="00A32AB1" w:rsidRDefault="006E4B75" w:rsidP="00CA39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lang w:eastAsia="en-US"/>
        </w:rPr>
      </w:pPr>
      <w:r w:rsidRPr="00A32AB1">
        <w:rPr>
          <w:rFonts w:asciiTheme="minorHAnsi" w:eastAsiaTheme="minorHAnsi" w:hAnsiTheme="minorHAnsi" w:cstheme="minorBidi"/>
          <w:lang w:eastAsia="en-US"/>
        </w:rPr>
        <w:t xml:space="preserve">- </w:t>
      </w:r>
      <w:r w:rsidR="007F6824">
        <w:rPr>
          <w:rFonts w:asciiTheme="minorHAnsi" w:eastAsiaTheme="minorHAnsi" w:hAnsiTheme="minorHAnsi" w:cstheme="minorBidi"/>
          <w:lang w:eastAsia="en-US"/>
        </w:rPr>
        <w:t>L</w:t>
      </w:r>
      <w:r w:rsidRPr="00A32AB1">
        <w:rPr>
          <w:rFonts w:asciiTheme="minorHAnsi" w:eastAsiaTheme="minorHAnsi" w:hAnsiTheme="minorHAnsi" w:cstheme="minorBidi"/>
          <w:lang w:eastAsia="en-US"/>
        </w:rPr>
        <w:t>’unité de compte associée à cet indicateur</w:t>
      </w:r>
      <w:r w:rsidR="007F6824">
        <w:rPr>
          <w:rFonts w:asciiTheme="minorHAnsi" w:eastAsiaTheme="minorHAnsi" w:hAnsiTheme="minorHAnsi" w:cstheme="minorBidi"/>
          <w:lang w:eastAsia="en-US"/>
        </w:rPr>
        <w:t>.</w:t>
      </w:r>
      <w:r w:rsidRPr="00A32AB1">
        <w:rPr>
          <w:rFonts w:asciiTheme="minorHAnsi" w:eastAsiaTheme="minorHAnsi" w:hAnsiTheme="minorHAnsi" w:cstheme="minorBidi"/>
          <w:lang w:eastAsia="en-US"/>
        </w:rPr>
        <w:t xml:space="preserve"> </w:t>
      </w:r>
    </w:p>
    <w:p w14:paraId="612555A3" w14:textId="1802473A" w:rsidR="006E4B75" w:rsidRPr="00CA391D" w:rsidRDefault="006E4B75" w:rsidP="00CA39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lang w:eastAsia="en-US"/>
        </w:rPr>
      </w:pPr>
      <w:r w:rsidRPr="00CA391D">
        <w:rPr>
          <w:rFonts w:asciiTheme="minorHAnsi" w:eastAsiaTheme="minorHAnsi" w:hAnsiTheme="minorHAnsi" w:cstheme="minorBidi"/>
          <w:lang w:eastAsia="en-US"/>
        </w:rPr>
        <w:t xml:space="preserve">- </w:t>
      </w:r>
      <w:r w:rsidR="007F6824">
        <w:rPr>
          <w:rFonts w:asciiTheme="minorHAnsi" w:eastAsiaTheme="minorHAnsi" w:hAnsiTheme="minorHAnsi" w:cstheme="minorBidi"/>
          <w:lang w:eastAsia="en-US"/>
        </w:rPr>
        <w:t>L</w:t>
      </w:r>
      <w:r w:rsidRPr="00CA391D">
        <w:rPr>
          <w:rFonts w:asciiTheme="minorHAnsi" w:eastAsiaTheme="minorHAnsi" w:hAnsiTheme="minorHAnsi" w:cstheme="minorBidi"/>
          <w:lang w:eastAsia="en-US"/>
        </w:rPr>
        <w:t xml:space="preserve">e nombre de faits de délinquance enregistrés </w:t>
      </w:r>
      <w:r w:rsidR="00FC0697">
        <w:rPr>
          <w:rFonts w:asciiTheme="minorHAnsi" w:eastAsiaTheme="minorHAnsi" w:hAnsiTheme="minorHAnsi" w:cstheme="minorBidi"/>
          <w:lang w:eastAsia="en-US"/>
        </w:rPr>
        <w:t xml:space="preserve">établis en </w:t>
      </w:r>
      <w:r w:rsidR="007F6824">
        <w:rPr>
          <w:rFonts w:asciiTheme="minorHAnsi" w:eastAsiaTheme="minorHAnsi" w:hAnsiTheme="minorHAnsi" w:cstheme="minorBidi"/>
          <w:lang w:eastAsia="en-US"/>
        </w:rPr>
        <w:t xml:space="preserve">lieu </w:t>
      </w:r>
      <w:r w:rsidR="00FC0697">
        <w:rPr>
          <w:rFonts w:asciiTheme="minorHAnsi" w:eastAsiaTheme="minorHAnsi" w:hAnsiTheme="minorHAnsi" w:cstheme="minorBidi"/>
          <w:lang w:eastAsia="en-US"/>
        </w:rPr>
        <w:t>de commission</w:t>
      </w:r>
      <w:r w:rsidR="007F6824">
        <w:rPr>
          <w:rFonts w:asciiTheme="minorHAnsi" w:eastAsiaTheme="minorHAnsi" w:hAnsiTheme="minorHAnsi" w:cstheme="minorBidi"/>
          <w:lang w:eastAsia="en-US"/>
        </w:rPr>
        <w:t>.</w:t>
      </w:r>
    </w:p>
    <w:p w14:paraId="3D002C9D" w14:textId="1FC318BC" w:rsidR="006E4B75" w:rsidRPr="00CA391D" w:rsidRDefault="006E4B75" w:rsidP="00CA39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lang w:eastAsia="en-US"/>
        </w:rPr>
      </w:pPr>
      <w:r w:rsidRPr="00CA391D">
        <w:rPr>
          <w:rFonts w:asciiTheme="minorHAnsi" w:eastAsiaTheme="minorHAnsi" w:hAnsiTheme="minorHAnsi" w:cstheme="minorBidi"/>
          <w:lang w:eastAsia="en-US"/>
        </w:rPr>
        <w:t xml:space="preserve">- </w:t>
      </w:r>
      <w:r w:rsidR="007F6824">
        <w:rPr>
          <w:rFonts w:asciiTheme="minorHAnsi" w:eastAsiaTheme="minorHAnsi" w:hAnsiTheme="minorHAnsi" w:cstheme="minorBidi"/>
          <w:lang w:eastAsia="en-US"/>
        </w:rPr>
        <w:t>L</w:t>
      </w:r>
      <w:r w:rsidRPr="00CA391D">
        <w:rPr>
          <w:rFonts w:asciiTheme="minorHAnsi" w:eastAsiaTheme="minorHAnsi" w:hAnsiTheme="minorHAnsi" w:cstheme="minorBidi"/>
          <w:lang w:eastAsia="en-US"/>
        </w:rPr>
        <w:t>e nombre de faits pour mille habitants (ou logements dans le cas des cambriolages)</w:t>
      </w:r>
      <w:r w:rsidR="007F6824">
        <w:rPr>
          <w:rFonts w:asciiTheme="minorHAnsi" w:eastAsiaTheme="minorHAnsi" w:hAnsiTheme="minorHAnsi" w:cstheme="minorBidi"/>
          <w:lang w:eastAsia="en-US"/>
        </w:rPr>
        <w:t>.</w:t>
      </w:r>
    </w:p>
    <w:p w14:paraId="6CD5FC6F" w14:textId="7BD554F8" w:rsidR="006E4B75" w:rsidRPr="00CA391D" w:rsidRDefault="006E4B75" w:rsidP="00CA391D">
      <w:pPr>
        <w:pStyle w:val="PrformatHTML"/>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sz w:val="24"/>
          <w:szCs w:val="24"/>
          <w:lang w:eastAsia="en-US"/>
        </w:rPr>
      </w:pPr>
      <w:r w:rsidRPr="00CA391D">
        <w:rPr>
          <w:rFonts w:asciiTheme="minorHAnsi" w:eastAsiaTheme="minorHAnsi" w:hAnsiTheme="minorHAnsi" w:cstheme="minorBidi"/>
          <w:sz w:val="24"/>
          <w:szCs w:val="24"/>
          <w:lang w:eastAsia="en-US"/>
        </w:rPr>
        <w:t xml:space="preserve">- </w:t>
      </w:r>
      <w:r w:rsidR="007F6824">
        <w:rPr>
          <w:rFonts w:asciiTheme="minorHAnsi" w:eastAsiaTheme="minorHAnsi" w:hAnsiTheme="minorHAnsi" w:cstheme="minorBidi"/>
          <w:sz w:val="24"/>
          <w:szCs w:val="24"/>
          <w:lang w:eastAsia="en-US"/>
        </w:rPr>
        <w:t>L</w:t>
      </w:r>
      <w:r w:rsidRPr="00CA391D">
        <w:rPr>
          <w:rFonts w:asciiTheme="minorHAnsi" w:eastAsiaTheme="minorHAnsi" w:hAnsiTheme="minorHAnsi" w:cstheme="minorBidi"/>
          <w:sz w:val="24"/>
          <w:szCs w:val="24"/>
          <w:lang w:eastAsia="en-US"/>
        </w:rPr>
        <w:t>a population municipale issue du recensement de la commune pour l’année précisée par une variable millésime</w:t>
      </w:r>
      <w:r w:rsidR="007F6824">
        <w:rPr>
          <w:rFonts w:asciiTheme="minorHAnsi" w:eastAsiaTheme="minorHAnsi" w:hAnsiTheme="minorHAnsi" w:cstheme="minorBidi"/>
          <w:sz w:val="24"/>
          <w:szCs w:val="24"/>
          <w:lang w:eastAsia="en-US"/>
        </w:rPr>
        <w:t>.</w:t>
      </w:r>
    </w:p>
    <w:p w14:paraId="3402348D" w14:textId="1F308561" w:rsidR="006E4B75" w:rsidRPr="00CA391D" w:rsidRDefault="006E4B75" w:rsidP="00CA391D">
      <w:pPr>
        <w:pStyle w:val="PrformatHTML"/>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sz w:val="24"/>
          <w:szCs w:val="24"/>
          <w:lang w:eastAsia="en-US"/>
        </w:rPr>
      </w:pPr>
      <w:r w:rsidRPr="00CA391D">
        <w:rPr>
          <w:rFonts w:asciiTheme="minorHAnsi" w:eastAsiaTheme="minorHAnsi" w:hAnsiTheme="minorHAnsi" w:cstheme="minorBidi"/>
          <w:sz w:val="24"/>
          <w:szCs w:val="24"/>
          <w:lang w:eastAsia="en-US"/>
        </w:rPr>
        <w:t xml:space="preserve">- </w:t>
      </w:r>
      <w:r w:rsidR="007F6824">
        <w:rPr>
          <w:rFonts w:asciiTheme="minorHAnsi" w:eastAsiaTheme="minorHAnsi" w:hAnsiTheme="minorHAnsi" w:cstheme="minorBidi"/>
          <w:sz w:val="24"/>
          <w:szCs w:val="24"/>
          <w:lang w:eastAsia="en-US"/>
        </w:rPr>
        <w:t>L</w:t>
      </w:r>
      <w:r w:rsidRPr="00CA391D">
        <w:rPr>
          <w:rFonts w:asciiTheme="minorHAnsi" w:eastAsiaTheme="minorHAnsi" w:hAnsiTheme="minorHAnsi" w:cstheme="minorBidi"/>
          <w:sz w:val="24"/>
          <w:szCs w:val="24"/>
          <w:lang w:eastAsia="en-US"/>
        </w:rPr>
        <w:t>e nombre de logements issu du recensement de la commune pour l’année précisée par une variable millésime</w:t>
      </w:r>
      <w:r w:rsidR="007F6824">
        <w:rPr>
          <w:rFonts w:asciiTheme="minorHAnsi" w:eastAsiaTheme="minorHAnsi" w:hAnsiTheme="minorHAnsi" w:cstheme="minorBidi"/>
          <w:sz w:val="24"/>
          <w:szCs w:val="24"/>
          <w:lang w:eastAsia="en-US"/>
        </w:rPr>
        <w:t>.</w:t>
      </w:r>
    </w:p>
    <w:p w14:paraId="7BFFA161" w14:textId="20581662" w:rsidR="00E0536C" w:rsidRDefault="006E4B75" w:rsidP="00222983">
      <w:pPr>
        <w:pStyle w:val="PrformatHTML"/>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sz w:val="24"/>
          <w:szCs w:val="24"/>
          <w:lang w:eastAsia="en-US"/>
        </w:rPr>
      </w:pPr>
      <w:r w:rsidRPr="00CA391D">
        <w:rPr>
          <w:rFonts w:asciiTheme="minorHAnsi" w:eastAsiaTheme="minorHAnsi" w:hAnsiTheme="minorHAnsi" w:cstheme="minorBidi"/>
          <w:sz w:val="24"/>
          <w:szCs w:val="24"/>
          <w:lang w:eastAsia="en-US"/>
        </w:rPr>
        <w:t xml:space="preserve">- </w:t>
      </w:r>
      <w:r w:rsidR="007F6824">
        <w:rPr>
          <w:rFonts w:asciiTheme="minorHAnsi" w:eastAsiaTheme="minorHAnsi" w:hAnsiTheme="minorHAnsi" w:cstheme="minorBidi"/>
          <w:sz w:val="24"/>
          <w:szCs w:val="24"/>
          <w:lang w:eastAsia="en-US"/>
        </w:rPr>
        <w:t>U</w:t>
      </w:r>
      <w:r w:rsidRPr="00CA391D">
        <w:rPr>
          <w:rFonts w:asciiTheme="minorHAnsi" w:eastAsiaTheme="minorHAnsi" w:hAnsiTheme="minorHAnsi" w:cstheme="minorBidi"/>
          <w:sz w:val="24"/>
          <w:szCs w:val="24"/>
          <w:lang w:eastAsia="en-US"/>
        </w:rPr>
        <w:t>ne indicatrice identifiant les communes pour lesquelles les données sont diffusées</w:t>
      </w:r>
      <w:r w:rsidR="00222983">
        <w:rPr>
          <w:rFonts w:asciiTheme="minorHAnsi" w:eastAsiaTheme="minorHAnsi" w:hAnsiTheme="minorHAnsi" w:cstheme="minorBidi"/>
          <w:sz w:val="24"/>
          <w:szCs w:val="24"/>
          <w:lang w:eastAsia="en-US"/>
        </w:rPr>
        <w:t>**</w:t>
      </w:r>
      <w:r w:rsidR="00DE2CE2" w:rsidRPr="00CA391D">
        <w:rPr>
          <w:rFonts w:asciiTheme="minorHAnsi" w:eastAsiaTheme="minorHAnsi" w:hAnsiTheme="minorHAnsi" w:cstheme="minorBidi"/>
          <w:sz w:val="24"/>
          <w:szCs w:val="24"/>
          <w:lang w:eastAsia="en-US"/>
        </w:rPr>
        <w:t>.</w:t>
      </w:r>
    </w:p>
    <w:p w14:paraId="46113962" w14:textId="7B53799C" w:rsidR="00E0536C" w:rsidRDefault="00E0536C" w:rsidP="00222983">
      <w:pPr>
        <w:pStyle w:val="PrformatHTML"/>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ab/>
        <w:t xml:space="preserve">- </w:t>
      </w:r>
      <w:r w:rsidR="00DE2CE2" w:rsidRPr="00CA391D">
        <w:rPr>
          <w:rFonts w:asciiTheme="minorHAnsi" w:eastAsiaTheme="minorHAnsi" w:hAnsiTheme="minorHAnsi" w:cstheme="minorBidi"/>
          <w:sz w:val="24"/>
          <w:szCs w:val="24"/>
          <w:lang w:eastAsia="en-US"/>
        </w:rPr>
        <w:t>Si cette indicatrice prend la valeur</w:t>
      </w:r>
      <w:r w:rsidR="00222983">
        <w:rPr>
          <w:rFonts w:asciiTheme="minorHAnsi" w:eastAsiaTheme="minorHAnsi" w:hAnsiTheme="minorHAnsi" w:cstheme="minorBidi"/>
          <w:sz w:val="24"/>
          <w:szCs w:val="24"/>
          <w:lang w:eastAsia="en-US"/>
        </w:rPr>
        <w:t xml:space="preserve"> « </w:t>
      </w:r>
      <w:r w:rsidR="00CE3AB3" w:rsidRPr="00AD3D49">
        <w:rPr>
          <w:rFonts w:asciiTheme="minorHAnsi" w:eastAsiaTheme="minorHAnsi" w:hAnsiTheme="minorHAnsi" w:cstheme="minorBidi"/>
          <w:i/>
          <w:sz w:val="24"/>
          <w:szCs w:val="24"/>
          <w:lang w:eastAsia="en-US"/>
        </w:rPr>
        <w:t>diff</w:t>
      </w:r>
      <w:r w:rsidR="00222983">
        <w:rPr>
          <w:rFonts w:asciiTheme="minorHAnsi" w:eastAsiaTheme="minorHAnsi" w:hAnsiTheme="minorHAnsi" w:cstheme="minorBidi"/>
          <w:sz w:val="24"/>
          <w:szCs w:val="24"/>
          <w:lang w:eastAsia="en-US"/>
        </w:rPr>
        <w:t xml:space="preserve"> » </w:t>
      </w:r>
      <w:r w:rsidR="00222983" w:rsidRPr="00CA391D">
        <w:rPr>
          <w:rFonts w:asciiTheme="minorHAnsi" w:eastAsiaTheme="minorHAnsi" w:hAnsiTheme="minorHAnsi" w:cstheme="minorBidi"/>
          <w:sz w:val="24"/>
          <w:szCs w:val="24"/>
          <w:lang w:eastAsia="en-US"/>
        </w:rPr>
        <w:t xml:space="preserve">alors </w:t>
      </w:r>
      <w:r w:rsidR="00222983">
        <w:rPr>
          <w:rFonts w:asciiTheme="minorHAnsi" w:eastAsiaTheme="minorHAnsi" w:hAnsiTheme="minorHAnsi" w:cstheme="minorBidi"/>
          <w:sz w:val="24"/>
          <w:szCs w:val="24"/>
          <w:lang w:eastAsia="en-US"/>
        </w:rPr>
        <w:t>le</w:t>
      </w:r>
      <w:r w:rsidR="007F6824">
        <w:rPr>
          <w:rFonts w:asciiTheme="minorHAnsi" w:eastAsiaTheme="minorHAnsi" w:hAnsiTheme="minorHAnsi" w:cstheme="minorBidi"/>
          <w:sz w:val="24"/>
          <w:szCs w:val="24"/>
          <w:lang w:eastAsia="en-US"/>
        </w:rPr>
        <w:t xml:space="preserve"> nombre de faits et le nombre de faits pour 1 000 </w:t>
      </w:r>
      <w:r w:rsidR="00222983">
        <w:rPr>
          <w:rFonts w:asciiTheme="minorHAnsi" w:eastAsiaTheme="minorHAnsi" w:hAnsiTheme="minorHAnsi" w:cstheme="minorBidi"/>
          <w:sz w:val="24"/>
          <w:szCs w:val="24"/>
          <w:lang w:eastAsia="en-US"/>
        </w:rPr>
        <w:t xml:space="preserve">sont renseignés. </w:t>
      </w:r>
    </w:p>
    <w:p w14:paraId="1B4CDBA0" w14:textId="74A97657" w:rsidR="00DE2CE2" w:rsidRDefault="00E0536C" w:rsidP="00CA391D">
      <w:pPr>
        <w:pStyle w:val="PrformatHTML"/>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ab/>
        <w:t xml:space="preserve">- </w:t>
      </w:r>
      <w:r w:rsidR="00222983">
        <w:rPr>
          <w:rFonts w:asciiTheme="minorHAnsi" w:eastAsiaTheme="minorHAnsi" w:hAnsiTheme="minorHAnsi" w:cstheme="minorBidi"/>
          <w:sz w:val="24"/>
          <w:szCs w:val="24"/>
          <w:lang w:eastAsia="en-US"/>
        </w:rPr>
        <w:t>Au contraire si cette indi</w:t>
      </w:r>
      <w:r w:rsidR="00F4513E">
        <w:rPr>
          <w:rFonts w:asciiTheme="minorHAnsi" w:eastAsiaTheme="minorHAnsi" w:hAnsiTheme="minorHAnsi" w:cstheme="minorBidi"/>
          <w:sz w:val="24"/>
          <w:szCs w:val="24"/>
          <w:lang w:eastAsia="en-US"/>
        </w:rPr>
        <w:t>c</w:t>
      </w:r>
      <w:r w:rsidR="00222983">
        <w:rPr>
          <w:rFonts w:asciiTheme="minorHAnsi" w:eastAsiaTheme="minorHAnsi" w:hAnsiTheme="minorHAnsi" w:cstheme="minorBidi"/>
          <w:sz w:val="24"/>
          <w:szCs w:val="24"/>
          <w:lang w:eastAsia="en-US"/>
        </w:rPr>
        <w:t>atrice vaut</w:t>
      </w:r>
      <w:r w:rsidR="00526B12">
        <w:rPr>
          <w:rFonts w:asciiTheme="minorHAnsi" w:eastAsiaTheme="minorHAnsi" w:hAnsiTheme="minorHAnsi" w:cstheme="minorBidi"/>
          <w:sz w:val="24"/>
          <w:szCs w:val="24"/>
          <w:lang w:eastAsia="en-US"/>
        </w:rPr>
        <w:t xml:space="preserve"> </w:t>
      </w:r>
      <w:r w:rsidR="00DE2CE2" w:rsidRPr="00CA391D">
        <w:rPr>
          <w:rFonts w:asciiTheme="minorHAnsi" w:eastAsiaTheme="minorHAnsi" w:hAnsiTheme="minorHAnsi" w:cstheme="minorBidi"/>
          <w:sz w:val="24"/>
          <w:szCs w:val="24"/>
          <w:lang w:eastAsia="en-US"/>
        </w:rPr>
        <w:t>« </w:t>
      </w:r>
      <w:r w:rsidR="00CE3AB3" w:rsidRPr="00AD3D49">
        <w:rPr>
          <w:rFonts w:asciiTheme="minorHAnsi" w:eastAsiaTheme="minorHAnsi" w:hAnsiTheme="minorHAnsi" w:cstheme="minorBidi"/>
          <w:i/>
          <w:sz w:val="24"/>
          <w:szCs w:val="24"/>
          <w:lang w:eastAsia="en-US"/>
        </w:rPr>
        <w:t>ndiff</w:t>
      </w:r>
      <w:r w:rsidR="00222983" w:rsidRPr="00CA391D">
        <w:rPr>
          <w:rFonts w:asciiTheme="minorHAnsi" w:eastAsiaTheme="minorHAnsi" w:hAnsiTheme="minorHAnsi" w:cstheme="minorBidi"/>
          <w:sz w:val="24"/>
          <w:szCs w:val="24"/>
          <w:lang w:eastAsia="en-US"/>
        </w:rPr>
        <w:t> </w:t>
      </w:r>
      <w:r w:rsidR="00DE2CE2" w:rsidRPr="00CA391D">
        <w:rPr>
          <w:rFonts w:asciiTheme="minorHAnsi" w:eastAsiaTheme="minorHAnsi" w:hAnsiTheme="minorHAnsi" w:cstheme="minorBidi"/>
          <w:sz w:val="24"/>
          <w:szCs w:val="24"/>
          <w:lang w:eastAsia="en-US"/>
        </w:rPr>
        <w:t>», alors</w:t>
      </w:r>
      <w:r w:rsidR="00222983">
        <w:rPr>
          <w:rFonts w:asciiTheme="minorHAnsi" w:eastAsiaTheme="minorHAnsi" w:hAnsiTheme="minorHAnsi" w:cstheme="minorBidi"/>
          <w:sz w:val="24"/>
          <w:szCs w:val="24"/>
          <w:lang w:eastAsia="en-US"/>
        </w:rPr>
        <w:t xml:space="preserve"> ces deux </w:t>
      </w:r>
      <w:r w:rsidR="003F4D64">
        <w:rPr>
          <w:rFonts w:asciiTheme="minorHAnsi" w:eastAsiaTheme="minorHAnsi" w:hAnsiTheme="minorHAnsi" w:cstheme="minorBidi"/>
          <w:sz w:val="24"/>
          <w:szCs w:val="24"/>
          <w:lang w:eastAsia="en-US"/>
        </w:rPr>
        <w:t xml:space="preserve">valeurs </w:t>
      </w:r>
      <w:r w:rsidR="003F4D64" w:rsidRPr="00CA391D">
        <w:rPr>
          <w:rFonts w:asciiTheme="minorHAnsi" w:eastAsiaTheme="minorHAnsi" w:hAnsiTheme="minorHAnsi" w:cstheme="minorBidi"/>
          <w:sz w:val="24"/>
          <w:szCs w:val="24"/>
          <w:lang w:eastAsia="en-US"/>
        </w:rPr>
        <w:t>ne</w:t>
      </w:r>
      <w:r w:rsidR="00DE2CE2" w:rsidRPr="00CA391D">
        <w:rPr>
          <w:rFonts w:asciiTheme="minorHAnsi" w:eastAsiaTheme="minorHAnsi" w:hAnsiTheme="minorHAnsi" w:cstheme="minorBidi"/>
          <w:sz w:val="24"/>
          <w:szCs w:val="24"/>
          <w:lang w:eastAsia="en-US"/>
        </w:rPr>
        <w:t xml:space="preserve"> sont pas renseigné</w:t>
      </w:r>
      <w:r w:rsidR="00B128CF">
        <w:rPr>
          <w:rFonts w:asciiTheme="minorHAnsi" w:eastAsiaTheme="minorHAnsi" w:hAnsiTheme="minorHAnsi" w:cstheme="minorBidi"/>
          <w:sz w:val="24"/>
          <w:szCs w:val="24"/>
          <w:lang w:eastAsia="en-US"/>
        </w:rPr>
        <w:t>e</w:t>
      </w:r>
      <w:r w:rsidR="00DE2CE2" w:rsidRPr="00CA391D">
        <w:rPr>
          <w:rFonts w:asciiTheme="minorHAnsi" w:eastAsiaTheme="minorHAnsi" w:hAnsiTheme="minorHAnsi" w:cstheme="minorBidi"/>
          <w:sz w:val="24"/>
          <w:szCs w:val="24"/>
          <w:lang w:eastAsia="en-US"/>
        </w:rPr>
        <w:t>s.</w:t>
      </w:r>
      <w:r>
        <w:rPr>
          <w:rFonts w:asciiTheme="minorHAnsi" w:eastAsiaTheme="minorHAnsi" w:hAnsiTheme="minorHAnsi" w:cstheme="minorBidi"/>
          <w:sz w:val="24"/>
          <w:szCs w:val="24"/>
          <w:lang w:eastAsia="en-US"/>
        </w:rPr>
        <w:t xml:space="preserve"> Toutefois, le nombre moyen de</w:t>
      </w:r>
      <w:r w:rsidRPr="00CA391D">
        <w:rPr>
          <w:rFonts w:asciiTheme="minorHAnsi" w:eastAsiaTheme="minorHAnsi" w:hAnsiTheme="minorHAnsi" w:cstheme="minorBidi"/>
          <w:sz w:val="24"/>
          <w:szCs w:val="24"/>
          <w:lang w:eastAsia="en-US"/>
        </w:rPr>
        <w:t xml:space="preserve"> </w:t>
      </w:r>
      <w:r>
        <w:rPr>
          <w:rFonts w:asciiTheme="minorHAnsi" w:eastAsiaTheme="minorHAnsi" w:hAnsiTheme="minorHAnsi" w:cstheme="minorBidi"/>
          <w:sz w:val="24"/>
          <w:szCs w:val="24"/>
          <w:lang w:eastAsia="en-US"/>
        </w:rPr>
        <w:t xml:space="preserve">faits ainsi que le </w:t>
      </w:r>
      <w:r w:rsidRPr="00CA391D">
        <w:rPr>
          <w:rFonts w:asciiTheme="minorHAnsi" w:eastAsiaTheme="minorHAnsi" w:hAnsiTheme="minorHAnsi" w:cstheme="minorBidi"/>
          <w:sz w:val="24"/>
          <w:szCs w:val="24"/>
          <w:lang w:eastAsia="en-US"/>
        </w:rPr>
        <w:t>taux</w:t>
      </w:r>
      <w:r>
        <w:rPr>
          <w:rFonts w:asciiTheme="minorHAnsi" w:eastAsiaTheme="minorHAnsi" w:hAnsiTheme="minorHAnsi" w:cstheme="minorBidi"/>
          <w:sz w:val="24"/>
          <w:szCs w:val="24"/>
          <w:lang w:eastAsia="en-US"/>
        </w:rPr>
        <w:t xml:space="preserve"> </w:t>
      </w:r>
      <w:r w:rsidRPr="00CA391D">
        <w:rPr>
          <w:rFonts w:asciiTheme="minorHAnsi" w:eastAsiaTheme="minorHAnsi" w:hAnsiTheme="minorHAnsi" w:cstheme="minorBidi"/>
          <w:sz w:val="24"/>
          <w:szCs w:val="24"/>
          <w:lang w:eastAsia="en-US"/>
        </w:rPr>
        <w:t>moyen pour mille</w:t>
      </w:r>
      <w:r w:rsidR="00DE2CE2" w:rsidRPr="00CA391D">
        <w:rPr>
          <w:rFonts w:asciiTheme="minorHAnsi" w:eastAsiaTheme="minorHAnsi" w:hAnsiTheme="minorHAnsi" w:cstheme="minorBidi"/>
          <w:sz w:val="24"/>
          <w:szCs w:val="24"/>
          <w:lang w:eastAsia="en-US"/>
        </w:rPr>
        <w:t xml:space="preserve">, </w:t>
      </w:r>
      <w:r>
        <w:rPr>
          <w:rFonts w:asciiTheme="minorHAnsi" w:eastAsiaTheme="minorHAnsi" w:hAnsiTheme="minorHAnsi" w:cstheme="minorBidi"/>
          <w:sz w:val="24"/>
          <w:szCs w:val="24"/>
          <w:lang w:eastAsia="en-US"/>
        </w:rPr>
        <w:t xml:space="preserve">par classe, </w:t>
      </w:r>
      <w:r w:rsidR="00DE2CE2" w:rsidRPr="00CA391D">
        <w:rPr>
          <w:rFonts w:asciiTheme="minorHAnsi" w:eastAsiaTheme="minorHAnsi" w:hAnsiTheme="minorHAnsi" w:cstheme="minorBidi"/>
          <w:sz w:val="24"/>
          <w:szCs w:val="24"/>
          <w:lang w:eastAsia="en-US"/>
        </w:rPr>
        <w:t xml:space="preserve">année et département pour les communes non diffusées </w:t>
      </w:r>
      <w:r>
        <w:rPr>
          <w:rFonts w:asciiTheme="minorHAnsi" w:eastAsiaTheme="minorHAnsi" w:hAnsiTheme="minorHAnsi" w:cstheme="minorBidi"/>
          <w:sz w:val="24"/>
          <w:szCs w:val="24"/>
          <w:lang w:eastAsia="en-US"/>
        </w:rPr>
        <w:t>sont renseignés</w:t>
      </w:r>
      <w:r w:rsidR="00F32302">
        <w:rPr>
          <w:rFonts w:asciiTheme="minorHAnsi" w:eastAsiaTheme="minorHAnsi" w:hAnsiTheme="minorHAnsi" w:cstheme="minorBidi"/>
          <w:sz w:val="24"/>
          <w:szCs w:val="24"/>
          <w:lang w:eastAsia="en-US"/>
        </w:rPr>
        <w:t>.</w:t>
      </w:r>
    </w:p>
    <w:p w14:paraId="4C391CA6" w14:textId="77777777" w:rsidR="00222983" w:rsidRDefault="00222983" w:rsidP="00CA391D">
      <w:pPr>
        <w:pStyle w:val="PrformatHTML"/>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sz w:val="24"/>
          <w:szCs w:val="24"/>
          <w:lang w:eastAsia="en-US"/>
        </w:rPr>
      </w:pPr>
    </w:p>
    <w:p w14:paraId="58F9DD1C" w14:textId="5A4D54D6" w:rsidR="00222983" w:rsidRPr="00222983" w:rsidRDefault="00222983" w:rsidP="00222983">
      <w:pPr>
        <w:pStyle w:val="PrformatHTML"/>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i/>
          <w:sz w:val="24"/>
          <w:szCs w:val="24"/>
          <w:lang w:eastAsia="en-US"/>
        </w:rPr>
      </w:pPr>
      <w:r w:rsidRPr="00222983">
        <w:rPr>
          <w:rFonts w:asciiTheme="minorHAnsi" w:eastAsiaTheme="minorHAnsi" w:hAnsiTheme="minorHAnsi" w:cstheme="minorBidi"/>
          <w:i/>
          <w:sz w:val="24"/>
          <w:szCs w:val="24"/>
          <w:lang w:eastAsia="en-US"/>
        </w:rPr>
        <w:t>** : Les données diffusées sont limitées aux communes pour lesquelles plus de 5 faits ont été enregistrés pendant 3 années successives. Cette précaution est motivée</w:t>
      </w:r>
      <w:r w:rsidR="00E0536C">
        <w:rPr>
          <w:rFonts w:asciiTheme="minorHAnsi" w:eastAsiaTheme="minorHAnsi" w:hAnsiTheme="minorHAnsi" w:cstheme="minorBidi"/>
          <w:i/>
          <w:sz w:val="24"/>
          <w:szCs w:val="24"/>
          <w:lang w:eastAsia="en-US"/>
        </w:rPr>
        <w:t> : d’une part par la fragilité des estimations sur des communes qui enregistrent peu de faits de délinquance (Interstats Analyse n°</w:t>
      </w:r>
      <w:r w:rsidR="005F7726">
        <w:rPr>
          <w:rFonts w:asciiTheme="minorHAnsi" w:eastAsiaTheme="minorHAnsi" w:hAnsiTheme="minorHAnsi" w:cstheme="minorBidi"/>
          <w:i/>
          <w:sz w:val="24"/>
          <w:szCs w:val="24"/>
          <w:lang w:eastAsia="en-US"/>
        </w:rPr>
        <w:t>6</w:t>
      </w:r>
      <w:r w:rsidR="00EA08FE">
        <w:rPr>
          <w:rFonts w:asciiTheme="minorHAnsi" w:eastAsiaTheme="minorHAnsi" w:hAnsiTheme="minorHAnsi" w:cstheme="minorBidi"/>
          <w:i/>
          <w:sz w:val="24"/>
          <w:szCs w:val="24"/>
          <w:lang w:eastAsia="en-US"/>
        </w:rPr>
        <w:t>6</w:t>
      </w:r>
      <w:r w:rsidR="00E0536C">
        <w:rPr>
          <w:rFonts w:asciiTheme="minorHAnsi" w:eastAsiaTheme="minorHAnsi" w:hAnsiTheme="minorHAnsi" w:cstheme="minorBidi"/>
          <w:i/>
          <w:sz w:val="24"/>
          <w:szCs w:val="24"/>
          <w:lang w:eastAsia="en-US"/>
        </w:rPr>
        <w:t>, mars 202</w:t>
      </w:r>
      <w:r w:rsidR="005F7726">
        <w:rPr>
          <w:rFonts w:asciiTheme="minorHAnsi" w:eastAsiaTheme="minorHAnsi" w:hAnsiTheme="minorHAnsi" w:cstheme="minorBidi"/>
          <w:i/>
          <w:sz w:val="24"/>
          <w:szCs w:val="24"/>
          <w:lang w:eastAsia="en-US"/>
        </w:rPr>
        <w:t>4</w:t>
      </w:r>
      <w:r w:rsidR="00E0536C">
        <w:rPr>
          <w:rFonts w:asciiTheme="minorHAnsi" w:eastAsiaTheme="minorHAnsi" w:hAnsiTheme="minorHAnsi" w:cstheme="minorBidi"/>
          <w:i/>
          <w:sz w:val="24"/>
          <w:szCs w:val="24"/>
          <w:lang w:eastAsia="en-US"/>
        </w:rPr>
        <w:t xml:space="preserve">), d’autre part par </w:t>
      </w:r>
      <w:r w:rsidRPr="00222983">
        <w:rPr>
          <w:rFonts w:asciiTheme="minorHAnsi" w:eastAsiaTheme="minorHAnsi" w:hAnsiTheme="minorHAnsi" w:cstheme="minorBidi"/>
          <w:i/>
          <w:sz w:val="24"/>
          <w:szCs w:val="24"/>
          <w:lang w:eastAsia="en-US"/>
        </w:rPr>
        <w:t xml:space="preserve">le secret statistique qui ne doit pas permettre, par le croisement de multiples sources, de déduire des informations individuelles sur les personnes concernées dans ces procédures. Cette précaution doit </w:t>
      </w:r>
      <w:r w:rsidR="00E0536C">
        <w:rPr>
          <w:rFonts w:asciiTheme="minorHAnsi" w:eastAsiaTheme="minorHAnsi" w:hAnsiTheme="minorHAnsi" w:cstheme="minorBidi"/>
          <w:i/>
          <w:sz w:val="24"/>
          <w:szCs w:val="24"/>
          <w:lang w:eastAsia="en-US"/>
        </w:rPr>
        <w:t xml:space="preserve">notamment </w:t>
      </w:r>
      <w:r w:rsidRPr="00222983">
        <w:rPr>
          <w:rFonts w:asciiTheme="minorHAnsi" w:eastAsiaTheme="minorHAnsi" w:hAnsiTheme="minorHAnsi" w:cstheme="minorBidi"/>
          <w:i/>
          <w:sz w:val="24"/>
          <w:szCs w:val="24"/>
          <w:lang w:eastAsia="en-US"/>
        </w:rPr>
        <w:t>être appréciée au regard de la sensibilité de certaines atteintes</w:t>
      </w:r>
      <w:r w:rsidR="00E0536C">
        <w:rPr>
          <w:rFonts w:asciiTheme="minorHAnsi" w:eastAsiaTheme="minorHAnsi" w:hAnsiTheme="minorHAnsi" w:cstheme="minorBidi"/>
          <w:i/>
          <w:sz w:val="24"/>
          <w:szCs w:val="24"/>
          <w:lang w:eastAsia="en-US"/>
        </w:rPr>
        <w:t xml:space="preserve"> comme les </w:t>
      </w:r>
      <w:r w:rsidRPr="00222983">
        <w:rPr>
          <w:rFonts w:asciiTheme="minorHAnsi" w:eastAsiaTheme="minorHAnsi" w:hAnsiTheme="minorHAnsi" w:cstheme="minorBidi"/>
          <w:i/>
          <w:sz w:val="24"/>
          <w:szCs w:val="24"/>
          <w:lang w:eastAsia="en-US"/>
        </w:rPr>
        <w:t xml:space="preserve">violences sexuelles. La base de données diffusée fournit </w:t>
      </w:r>
      <w:r w:rsidR="00E0536C">
        <w:rPr>
          <w:rFonts w:asciiTheme="minorHAnsi" w:eastAsiaTheme="minorHAnsi" w:hAnsiTheme="minorHAnsi" w:cstheme="minorBidi"/>
          <w:i/>
          <w:sz w:val="24"/>
          <w:szCs w:val="24"/>
          <w:lang w:eastAsia="en-US"/>
        </w:rPr>
        <w:t>également l'</w:t>
      </w:r>
      <w:r w:rsidRPr="00222983">
        <w:rPr>
          <w:rFonts w:asciiTheme="minorHAnsi" w:eastAsiaTheme="minorHAnsi" w:hAnsiTheme="minorHAnsi" w:cstheme="minorBidi"/>
          <w:i/>
          <w:sz w:val="24"/>
          <w:szCs w:val="24"/>
          <w:lang w:eastAsia="en-US"/>
        </w:rPr>
        <w:t>information sur l'absence de faits enregistrés lorsqu’elle se rep</w:t>
      </w:r>
      <w:r w:rsidR="00E0536C">
        <w:rPr>
          <w:rFonts w:asciiTheme="minorHAnsi" w:eastAsiaTheme="minorHAnsi" w:hAnsiTheme="minorHAnsi" w:cstheme="minorBidi"/>
          <w:i/>
          <w:sz w:val="24"/>
          <w:szCs w:val="24"/>
          <w:lang w:eastAsia="en-US"/>
        </w:rPr>
        <w:t>roduit sur 3 années successives.</w:t>
      </w:r>
      <w:r w:rsidR="008954DA">
        <w:rPr>
          <w:rFonts w:asciiTheme="minorHAnsi" w:eastAsiaTheme="minorHAnsi" w:hAnsiTheme="minorHAnsi" w:cstheme="minorBidi"/>
          <w:i/>
          <w:sz w:val="24"/>
          <w:szCs w:val="24"/>
          <w:lang w:eastAsia="en-US"/>
        </w:rPr>
        <w:t xml:space="preserve"> </w:t>
      </w:r>
      <w:r w:rsidR="00D05433">
        <w:rPr>
          <w:rFonts w:asciiTheme="minorHAnsi" w:eastAsiaTheme="minorHAnsi" w:hAnsiTheme="minorHAnsi" w:cstheme="minorBidi"/>
          <w:i/>
          <w:sz w:val="24"/>
          <w:szCs w:val="24"/>
          <w:lang w:eastAsia="en-US"/>
        </w:rPr>
        <w:t>L</w:t>
      </w:r>
      <w:r w:rsidR="008954DA">
        <w:rPr>
          <w:rFonts w:asciiTheme="minorHAnsi" w:eastAsiaTheme="minorHAnsi" w:hAnsiTheme="minorHAnsi" w:cstheme="minorBidi"/>
          <w:i/>
          <w:sz w:val="24"/>
          <w:szCs w:val="24"/>
          <w:lang w:eastAsia="en-US"/>
        </w:rPr>
        <w:t xml:space="preserve">es données </w:t>
      </w:r>
      <w:r w:rsidR="00D05433">
        <w:rPr>
          <w:rFonts w:asciiTheme="minorHAnsi" w:eastAsiaTheme="minorHAnsi" w:hAnsiTheme="minorHAnsi" w:cstheme="minorBidi"/>
          <w:i/>
          <w:sz w:val="24"/>
          <w:szCs w:val="24"/>
          <w:lang w:eastAsia="en-US"/>
        </w:rPr>
        <w:t xml:space="preserve">communales </w:t>
      </w:r>
      <w:r w:rsidR="008954DA">
        <w:rPr>
          <w:rFonts w:asciiTheme="minorHAnsi" w:eastAsiaTheme="minorHAnsi" w:hAnsiTheme="minorHAnsi" w:cstheme="minorBidi"/>
          <w:i/>
          <w:sz w:val="24"/>
          <w:szCs w:val="24"/>
          <w:lang w:eastAsia="en-US"/>
        </w:rPr>
        <w:t>de délinquance ventilées par lieu de commission en 2014 et en 2015</w:t>
      </w:r>
      <w:r w:rsidR="00D05433">
        <w:rPr>
          <w:rFonts w:asciiTheme="minorHAnsi" w:eastAsiaTheme="minorHAnsi" w:hAnsiTheme="minorHAnsi" w:cstheme="minorBidi"/>
          <w:i/>
          <w:sz w:val="24"/>
          <w:szCs w:val="24"/>
          <w:lang w:eastAsia="en-US"/>
        </w:rPr>
        <w:t xml:space="preserve"> n’étant pas disponibles</w:t>
      </w:r>
      <w:r w:rsidR="008954DA">
        <w:rPr>
          <w:rFonts w:asciiTheme="minorHAnsi" w:eastAsiaTheme="minorHAnsi" w:hAnsiTheme="minorHAnsi" w:cstheme="minorBidi"/>
          <w:i/>
          <w:sz w:val="24"/>
          <w:szCs w:val="24"/>
          <w:lang w:eastAsia="en-US"/>
        </w:rPr>
        <w:t>, les données communales de 2016 et de 2017 sont diffusées si les critères de diffusion pour l’année 2018 sont vérifiés.</w:t>
      </w:r>
    </w:p>
    <w:p w14:paraId="460CD8E2" w14:textId="12FEEDEA" w:rsidR="00222983" w:rsidRPr="00CA391D" w:rsidRDefault="00222983" w:rsidP="00CA391D">
      <w:pPr>
        <w:pStyle w:val="PrformatHTML"/>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sz w:val="24"/>
          <w:szCs w:val="24"/>
          <w:lang w:eastAsia="en-US"/>
        </w:rPr>
      </w:pPr>
    </w:p>
    <w:p w14:paraId="24F30D2A" w14:textId="65B5B0EA" w:rsidR="00DE2CE2" w:rsidRDefault="00DE2CE2" w:rsidP="006E4B75">
      <w:pPr>
        <w:pStyle w:val="PrformatHTML"/>
        <w:rPr>
          <w:rFonts w:asciiTheme="minorHAnsi" w:eastAsiaTheme="minorHAnsi" w:hAnsiTheme="minorHAnsi" w:cstheme="minorBidi"/>
          <w:sz w:val="24"/>
          <w:szCs w:val="24"/>
          <w:lang w:eastAsia="en-US"/>
        </w:rPr>
      </w:pPr>
    </w:p>
    <w:tbl>
      <w:tblPr>
        <w:tblStyle w:val="Grilledutableau"/>
        <w:tblW w:w="9072" w:type="dxa"/>
        <w:tblLayout w:type="fixed"/>
        <w:tblLook w:val="04A0" w:firstRow="1" w:lastRow="0" w:firstColumn="1" w:lastColumn="0" w:noHBand="0" w:noVBand="1"/>
      </w:tblPr>
      <w:tblGrid>
        <w:gridCol w:w="3969"/>
        <w:gridCol w:w="1701"/>
        <w:gridCol w:w="1701"/>
        <w:gridCol w:w="1701"/>
      </w:tblGrid>
      <w:tr w:rsidR="00741B80" w:rsidRPr="00777634" w14:paraId="78559532" w14:textId="77777777" w:rsidTr="00AD3D49">
        <w:trPr>
          <w:tblHeader/>
        </w:trPr>
        <w:tc>
          <w:tcPr>
            <w:tcW w:w="3969" w:type="dxa"/>
            <w:tcBorders>
              <w:top w:val="nil"/>
              <w:left w:val="nil"/>
              <w:bottom w:val="single" w:sz="4" w:space="0" w:color="auto"/>
              <w:right w:val="single" w:sz="4" w:space="0" w:color="auto"/>
            </w:tcBorders>
            <w:shd w:val="clear" w:color="auto" w:fill="auto"/>
            <w:vAlign w:val="center"/>
          </w:tcPr>
          <w:p w14:paraId="3E4179B7" w14:textId="77777777" w:rsidR="00741B80" w:rsidRPr="00741B80" w:rsidRDefault="00741B80" w:rsidP="008B58AA">
            <w:pPr>
              <w:pStyle w:val="NormalWeb"/>
              <w:spacing w:before="0" w:beforeAutospacing="0" w:after="0" w:afterAutospacing="0"/>
              <w:jc w:val="center"/>
              <w:rPr>
                <w:rFonts w:asciiTheme="minorHAnsi" w:eastAsiaTheme="minorHAnsi" w:hAnsiTheme="minorHAnsi" w:cstheme="minorHAnsi"/>
                <w:b/>
                <w:color w:val="FFFFFF" w:themeColor="background1"/>
                <w:lang w:eastAsia="en-US"/>
              </w:rPr>
            </w:pPr>
          </w:p>
        </w:tc>
        <w:tc>
          <w:tcPr>
            <w:tcW w:w="5103" w:type="dxa"/>
            <w:gridSpan w:val="3"/>
            <w:tcBorders>
              <w:left w:val="single" w:sz="4" w:space="0" w:color="auto"/>
            </w:tcBorders>
            <w:shd w:val="clear" w:color="auto" w:fill="7F7F7F" w:themeFill="text1" w:themeFillTint="80"/>
            <w:vAlign w:val="center"/>
          </w:tcPr>
          <w:p w14:paraId="148CCB07" w14:textId="3218CD3E" w:rsidR="00741B80" w:rsidRPr="00741B80" w:rsidRDefault="00741B80" w:rsidP="008B58AA">
            <w:pPr>
              <w:pStyle w:val="NormalWeb"/>
              <w:spacing w:before="0" w:beforeAutospacing="0" w:after="0" w:afterAutospacing="0"/>
              <w:jc w:val="center"/>
              <w:rPr>
                <w:rFonts w:asciiTheme="minorHAnsi" w:eastAsiaTheme="minorHAnsi" w:hAnsiTheme="minorHAnsi" w:cstheme="minorHAnsi"/>
                <w:b/>
                <w:color w:val="FFFFFF" w:themeColor="background1"/>
                <w:lang w:eastAsia="en-US"/>
              </w:rPr>
            </w:pPr>
            <w:r>
              <w:rPr>
                <w:rFonts w:asciiTheme="minorHAnsi" w:eastAsiaTheme="minorHAnsi" w:hAnsiTheme="minorHAnsi" w:cstheme="minorHAnsi"/>
                <w:b/>
                <w:color w:val="FFFFFF" w:themeColor="background1"/>
                <w:lang w:eastAsia="en-US"/>
              </w:rPr>
              <w:t>Nom de la variable dans la base …</w:t>
            </w:r>
          </w:p>
        </w:tc>
      </w:tr>
      <w:tr w:rsidR="006B3BF2" w:rsidRPr="00777634" w14:paraId="3FB1025A" w14:textId="77777777" w:rsidTr="00AD3D49">
        <w:trPr>
          <w:tblHeader/>
        </w:trPr>
        <w:tc>
          <w:tcPr>
            <w:tcW w:w="3969" w:type="dxa"/>
            <w:tcBorders>
              <w:top w:val="single" w:sz="4" w:space="0" w:color="auto"/>
            </w:tcBorders>
            <w:shd w:val="clear" w:color="auto" w:fill="7F7F7F" w:themeFill="text1" w:themeFillTint="80"/>
            <w:vAlign w:val="center"/>
          </w:tcPr>
          <w:p w14:paraId="69D6C6BF" w14:textId="77777777" w:rsidR="006B3BF2" w:rsidRPr="00AD3D49" w:rsidRDefault="006B3BF2" w:rsidP="00AD3D49">
            <w:pPr>
              <w:pStyle w:val="NormalWeb"/>
              <w:spacing w:before="0" w:beforeAutospacing="0" w:after="0" w:afterAutospacing="0"/>
              <w:jc w:val="center"/>
              <w:rPr>
                <w:rFonts w:asciiTheme="minorHAnsi" w:eastAsiaTheme="minorHAnsi" w:hAnsiTheme="minorHAnsi" w:cstheme="minorHAnsi"/>
                <w:b/>
                <w:color w:val="FFFFFF" w:themeColor="background1"/>
                <w:lang w:eastAsia="en-US"/>
              </w:rPr>
            </w:pPr>
            <w:r w:rsidRPr="00AD3D49">
              <w:rPr>
                <w:rFonts w:asciiTheme="minorHAnsi" w:eastAsiaTheme="minorHAnsi" w:hAnsiTheme="minorHAnsi" w:cstheme="minorHAnsi"/>
                <w:b/>
                <w:color w:val="FFFFFF" w:themeColor="background1"/>
                <w:lang w:eastAsia="en-US"/>
              </w:rPr>
              <w:t>Variable</w:t>
            </w:r>
          </w:p>
        </w:tc>
        <w:tc>
          <w:tcPr>
            <w:tcW w:w="1701" w:type="dxa"/>
            <w:shd w:val="clear" w:color="auto" w:fill="7F7F7F" w:themeFill="text1" w:themeFillTint="80"/>
            <w:vAlign w:val="center"/>
          </w:tcPr>
          <w:p w14:paraId="6F938BB7" w14:textId="4FFFD09C" w:rsidR="006B3BF2" w:rsidRPr="00AD3D49" w:rsidRDefault="00741B80" w:rsidP="00AD3D49">
            <w:pPr>
              <w:pStyle w:val="NormalWeb"/>
              <w:spacing w:before="0" w:beforeAutospacing="0" w:after="0" w:afterAutospacing="0"/>
              <w:jc w:val="center"/>
              <w:rPr>
                <w:rFonts w:asciiTheme="minorHAnsi" w:eastAsiaTheme="minorHAnsi" w:hAnsiTheme="minorHAnsi" w:cstheme="minorHAnsi"/>
                <w:b/>
                <w:color w:val="FFFFFF" w:themeColor="background1"/>
                <w:lang w:eastAsia="en-US"/>
              </w:rPr>
            </w:pPr>
            <w:r>
              <w:rPr>
                <w:rFonts w:asciiTheme="minorHAnsi" w:eastAsiaTheme="minorHAnsi" w:hAnsiTheme="minorHAnsi" w:cstheme="minorHAnsi"/>
                <w:b/>
                <w:color w:val="FFFFFF" w:themeColor="background1"/>
                <w:lang w:eastAsia="en-US"/>
              </w:rPr>
              <w:t>R</w:t>
            </w:r>
            <w:r w:rsidR="006B3BF2" w:rsidRPr="00AD3D49">
              <w:rPr>
                <w:rFonts w:asciiTheme="minorHAnsi" w:eastAsiaTheme="minorHAnsi" w:hAnsiTheme="minorHAnsi" w:cstheme="minorHAnsi"/>
                <w:b/>
                <w:color w:val="FFFFFF" w:themeColor="background1"/>
                <w:lang w:eastAsia="en-US"/>
              </w:rPr>
              <w:t>égionale</w:t>
            </w:r>
          </w:p>
        </w:tc>
        <w:tc>
          <w:tcPr>
            <w:tcW w:w="1701" w:type="dxa"/>
            <w:shd w:val="clear" w:color="auto" w:fill="7F7F7F" w:themeFill="text1" w:themeFillTint="80"/>
            <w:vAlign w:val="center"/>
          </w:tcPr>
          <w:p w14:paraId="0A63CEC4" w14:textId="50996EA9" w:rsidR="006B3BF2" w:rsidRPr="00AD3D49" w:rsidRDefault="00741B80" w:rsidP="00AD3D49">
            <w:pPr>
              <w:pStyle w:val="NormalWeb"/>
              <w:spacing w:before="0" w:beforeAutospacing="0" w:after="0" w:afterAutospacing="0"/>
              <w:jc w:val="center"/>
              <w:rPr>
                <w:rFonts w:asciiTheme="minorHAnsi" w:eastAsiaTheme="minorHAnsi" w:hAnsiTheme="minorHAnsi" w:cstheme="minorHAnsi"/>
                <w:b/>
                <w:color w:val="FFFFFF" w:themeColor="background1"/>
                <w:lang w:eastAsia="en-US"/>
              </w:rPr>
            </w:pPr>
            <w:r>
              <w:rPr>
                <w:rFonts w:asciiTheme="minorHAnsi" w:eastAsiaTheme="minorHAnsi" w:hAnsiTheme="minorHAnsi" w:cstheme="minorHAnsi"/>
                <w:b/>
                <w:color w:val="FFFFFF" w:themeColor="background1"/>
                <w:lang w:eastAsia="en-US"/>
              </w:rPr>
              <w:t>D</w:t>
            </w:r>
            <w:r w:rsidR="006B3BF2" w:rsidRPr="00AD3D49">
              <w:rPr>
                <w:rFonts w:asciiTheme="minorHAnsi" w:eastAsiaTheme="minorHAnsi" w:hAnsiTheme="minorHAnsi" w:cstheme="minorHAnsi"/>
                <w:b/>
                <w:color w:val="FFFFFF" w:themeColor="background1"/>
                <w:lang w:eastAsia="en-US"/>
              </w:rPr>
              <w:t>épartementale</w:t>
            </w:r>
          </w:p>
        </w:tc>
        <w:tc>
          <w:tcPr>
            <w:tcW w:w="1701" w:type="dxa"/>
            <w:shd w:val="clear" w:color="auto" w:fill="7F7F7F" w:themeFill="text1" w:themeFillTint="80"/>
            <w:vAlign w:val="center"/>
          </w:tcPr>
          <w:p w14:paraId="31FFDC3E" w14:textId="43DC6022" w:rsidR="006B3BF2" w:rsidRPr="00AD3D49" w:rsidRDefault="00741B80" w:rsidP="00AD3D49">
            <w:pPr>
              <w:pStyle w:val="NormalWeb"/>
              <w:spacing w:before="0" w:beforeAutospacing="0" w:after="0" w:afterAutospacing="0"/>
              <w:jc w:val="center"/>
              <w:rPr>
                <w:rFonts w:asciiTheme="minorHAnsi" w:eastAsiaTheme="minorHAnsi" w:hAnsiTheme="minorHAnsi" w:cstheme="minorHAnsi"/>
                <w:b/>
                <w:color w:val="FFFFFF" w:themeColor="background1"/>
                <w:lang w:eastAsia="en-US"/>
              </w:rPr>
            </w:pPr>
            <w:r>
              <w:rPr>
                <w:rFonts w:asciiTheme="minorHAnsi" w:eastAsiaTheme="minorHAnsi" w:hAnsiTheme="minorHAnsi" w:cstheme="minorHAnsi"/>
                <w:b/>
                <w:color w:val="FFFFFF" w:themeColor="background1"/>
                <w:lang w:eastAsia="en-US"/>
              </w:rPr>
              <w:t>C</w:t>
            </w:r>
            <w:r w:rsidR="006B3BF2" w:rsidRPr="00AD3D49">
              <w:rPr>
                <w:rFonts w:asciiTheme="minorHAnsi" w:eastAsiaTheme="minorHAnsi" w:hAnsiTheme="minorHAnsi" w:cstheme="minorHAnsi"/>
                <w:b/>
                <w:color w:val="FFFFFF" w:themeColor="background1"/>
                <w:lang w:eastAsia="en-US"/>
              </w:rPr>
              <w:t>ommunale</w:t>
            </w:r>
          </w:p>
        </w:tc>
      </w:tr>
      <w:tr w:rsidR="006B3BF2" w:rsidRPr="00777634" w14:paraId="35CF8799" w14:textId="77777777" w:rsidTr="008B58AA">
        <w:trPr>
          <w:tblHeader/>
        </w:trPr>
        <w:tc>
          <w:tcPr>
            <w:tcW w:w="3969" w:type="dxa"/>
            <w:vMerge w:val="restart"/>
            <w:shd w:val="clear" w:color="auto" w:fill="auto"/>
            <w:vAlign w:val="center"/>
          </w:tcPr>
          <w:p w14:paraId="04B409A5" w14:textId="77777777" w:rsidR="006B3BF2" w:rsidRPr="00935F02" w:rsidRDefault="006B3BF2" w:rsidP="00AD3D49">
            <w:pPr>
              <w:pStyle w:val="NormalWeb"/>
              <w:spacing w:before="0" w:beforeAutospacing="0" w:after="0" w:afterAutospacing="0"/>
              <w:rPr>
                <w:rFonts w:asciiTheme="minorHAnsi" w:eastAsiaTheme="minorHAnsi" w:hAnsiTheme="minorHAnsi" w:cstheme="minorHAnsi"/>
                <w:lang w:eastAsia="en-US"/>
              </w:rPr>
            </w:pPr>
            <w:r w:rsidRPr="00935F02">
              <w:rPr>
                <w:rFonts w:asciiTheme="minorHAnsi" w:eastAsiaTheme="minorHAnsi" w:hAnsiTheme="minorHAnsi" w:cstheme="minorHAnsi"/>
                <w:lang w:eastAsia="en-US"/>
              </w:rPr>
              <w:t>Code officiel géographique</w:t>
            </w:r>
          </w:p>
        </w:tc>
        <w:tc>
          <w:tcPr>
            <w:tcW w:w="1701" w:type="dxa"/>
            <w:vMerge w:val="restart"/>
            <w:shd w:val="clear" w:color="auto" w:fill="auto"/>
            <w:vAlign w:val="center"/>
          </w:tcPr>
          <w:p w14:paraId="09E2B558" w14:textId="77777777" w:rsidR="006B3BF2" w:rsidRPr="00935F02" w:rsidRDefault="006B3BF2" w:rsidP="00AD3D49">
            <w:pPr>
              <w:pStyle w:val="NormalWeb"/>
              <w:spacing w:before="0" w:beforeAutospacing="0" w:after="0" w:afterAutospacing="0"/>
              <w:jc w:val="center"/>
              <w:rPr>
                <w:rFonts w:asciiTheme="minorHAnsi" w:eastAsiaTheme="minorHAnsi" w:hAnsiTheme="minorHAnsi" w:cstheme="minorHAnsi"/>
                <w:lang w:eastAsia="en-US"/>
              </w:rPr>
            </w:pPr>
            <w:r>
              <w:rPr>
                <w:rFonts w:asciiTheme="minorHAnsi" w:eastAsiaTheme="minorHAnsi" w:hAnsiTheme="minorHAnsi" w:cstheme="minorHAnsi"/>
                <w:lang w:eastAsia="en-US"/>
              </w:rPr>
              <w:t>Code_region</w:t>
            </w:r>
          </w:p>
        </w:tc>
        <w:tc>
          <w:tcPr>
            <w:tcW w:w="1701" w:type="dxa"/>
            <w:shd w:val="clear" w:color="auto" w:fill="auto"/>
            <w:vAlign w:val="center"/>
          </w:tcPr>
          <w:p w14:paraId="59539F7F" w14:textId="77777777" w:rsidR="006B3BF2" w:rsidRPr="00777634" w:rsidRDefault="006B3BF2" w:rsidP="00AD3D49">
            <w:pPr>
              <w:pStyle w:val="NormalWeb"/>
              <w:spacing w:before="0" w:beforeAutospacing="0" w:after="0" w:afterAutospacing="0"/>
              <w:jc w:val="center"/>
              <w:rPr>
                <w:rFonts w:asciiTheme="minorHAnsi" w:eastAsiaTheme="minorHAnsi" w:hAnsiTheme="minorHAnsi" w:cstheme="minorHAnsi"/>
                <w:lang w:eastAsia="en-US"/>
              </w:rPr>
            </w:pPr>
            <w:r>
              <w:rPr>
                <w:rFonts w:asciiTheme="minorHAnsi" w:eastAsiaTheme="minorHAnsi" w:hAnsiTheme="minorHAnsi" w:cstheme="minorHAnsi"/>
                <w:lang w:eastAsia="en-US"/>
              </w:rPr>
              <w:t>Code_region</w:t>
            </w:r>
          </w:p>
        </w:tc>
        <w:tc>
          <w:tcPr>
            <w:tcW w:w="1701" w:type="dxa"/>
            <w:vMerge w:val="restart"/>
            <w:shd w:val="clear" w:color="auto" w:fill="auto"/>
            <w:vAlign w:val="center"/>
          </w:tcPr>
          <w:p w14:paraId="781AC39E" w14:textId="77777777" w:rsidR="006B3BF2" w:rsidRPr="00777634" w:rsidRDefault="006B3BF2" w:rsidP="00AD3D49">
            <w:pPr>
              <w:pStyle w:val="NormalWeb"/>
              <w:spacing w:before="0" w:beforeAutospacing="0" w:after="0" w:afterAutospacing="0"/>
              <w:jc w:val="center"/>
              <w:rPr>
                <w:rFonts w:asciiTheme="minorHAnsi" w:eastAsiaTheme="minorHAnsi" w:hAnsiTheme="minorHAnsi" w:cstheme="minorHAnsi"/>
                <w:lang w:eastAsia="en-US"/>
              </w:rPr>
            </w:pPr>
            <w:r w:rsidRPr="00621A4F">
              <w:rPr>
                <w:rFonts w:asciiTheme="minorHAnsi" w:eastAsiaTheme="minorHAnsi" w:hAnsiTheme="minorHAnsi" w:cstheme="minorHAnsi"/>
                <w:lang w:eastAsia="en-US"/>
              </w:rPr>
              <w:t>CODGEO_2024</w:t>
            </w:r>
          </w:p>
        </w:tc>
      </w:tr>
      <w:tr w:rsidR="006B3BF2" w:rsidRPr="00935F02" w14:paraId="01B1CEEF" w14:textId="77777777" w:rsidTr="008B58AA">
        <w:trPr>
          <w:tblHeader/>
        </w:trPr>
        <w:tc>
          <w:tcPr>
            <w:tcW w:w="3969" w:type="dxa"/>
            <w:vMerge/>
            <w:shd w:val="clear" w:color="auto" w:fill="auto"/>
            <w:vAlign w:val="center"/>
          </w:tcPr>
          <w:p w14:paraId="7591D484" w14:textId="77777777" w:rsidR="006B3BF2" w:rsidRPr="00AD3D49" w:rsidRDefault="006B3BF2" w:rsidP="00AD3D49">
            <w:pPr>
              <w:pStyle w:val="NormalWeb"/>
              <w:spacing w:before="0" w:beforeAutospacing="0" w:after="0" w:afterAutospacing="0"/>
              <w:rPr>
                <w:rFonts w:asciiTheme="minorHAnsi" w:eastAsiaTheme="minorHAnsi" w:hAnsiTheme="minorHAnsi" w:cstheme="minorHAnsi"/>
                <w:lang w:eastAsia="en-US"/>
              </w:rPr>
            </w:pPr>
          </w:p>
        </w:tc>
        <w:tc>
          <w:tcPr>
            <w:tcW w:w="1701" w:type="dxa"/>
            <w:vMerge/>
            <w:shd w:val="clear" w:color="auto" w:fill="auto"/>
            <w:vAlign w:val="center"/>
          </w:tcPr>
          <w:p w14:paraId="7692C748" w14:textId="77777777" w:rsidR="006B3BF2" w:rsidRPr="00AD3D49" w:rsidRDefault="006B3BF2" w:rsidP="00AD3D49">
            <w:pPr>
              <w:pStyle w:val="NormalWeb"/>
              <w:spacing w:before="0" w:beforeAutospacing="0" w:after="0" w:afterAutospacing="0"/>
              <w:jc w:val="center"/>
              <w:rPr>
                <w:rFonts w:asciiTheme="minorHAnsi" w:eastAsiaTheme="minorHAnsi" w:hAnsiTheme="minorHAnsi" w:cstheme="minorHAnsi"/>
                <w:lang w:eastAsia="en-US"/>
              </w:rPr>
            </w:pPr>
          </w:p>
        </w:tc>
        <w:tc>
          <w:tcPr>
            <w:tcW w:w="1701" w:type="dxa"/>
            <w:shd w:val="clear" w:color="auto" w:fill="auto"/>
            <w:vAlign w:val="center"/>
          </w:tcPr>
          <w:p w14:paraId="77F414C2" w14:textId="77777777" w:rsidR="006B3BF2" w:rsidRPr="00621A4F" w:rsidRDefault="006B3BF2" w:rsidP="00AD3D49">
            <w:pPr>
              <w:pStyle w:val="NormalWeb"/>
              <w:spacing w:before="0" w:beforeAutospacing="0" w:after="0" w:afterAutospacing="0"/>
              <w:jc w:val="center"/>
              <w:rPr>
                <w:rFonts w:asciiTheme="minorHAnsi" w:eastAsiaTheme="minorHAnsi" w:hAnsiTheme="minorHAnsi" w:cstheme="minorHAnsi"/>
                <w:lang w:eastAsia="en-US"/>
              </w:rPr>
            </w:pPr>
            <w:r>
              <w:rPr>
                <w:rFonts w:asciiTheme="minorHAnsi" w:eastAsiaTheme="minorHAnsi" w:hAnsiTheme="minorHAnsi" w:cstheme="minorHAnsi"/>
                <w:lang w:eastAsia="en-US"/>
              </w:rPr>
              <w:t>Code_departement</w:t>
            </w:r>
          </w:p>
        </w:tc>
        <w:tc>
          <w:tcPr>
            <w:tcW w:w="1701" w:type="dxa"/>
            <w:vMerge/>
            <w:shd w:val="clear" w:color="auto" w:fill="auto"/>
            <w:vAlign w:val="center"/>
          </w:tcPr>
          <w:p w14:paraId="69CD3D33" w14:textId="77777777" w:rsidR="006B3BF2" w:rsidRPr="00AD3D49" w:rsidRDefault="006B3BF2" w:rsidP="00AD3D49">
            <w:pPr>
              <w:pStyle w:val="NormalWeb"/>
              <w:spacing w:before="0" w:beforeAutospacing="0" w:after="0" w:afterAutospacing="0"/>
              <w:jc w:val="center"/>
              <w:rPr>
                <w:rFonts w:asciiTheme="minorHAnsi" w:eastAsiaTheme="minorHAnsi" w:hAnsiTheme="minorHAnsi" w:cstheme="minorHAnsi"/>
                <w:lang w:eastAsia="en-US"/>
              </w:rPr>
            </w:pPr>
          </w:p>
        </w:tc>
      </w:tr>
      <w:tr w:rsidR="006B3BF2" w:rsidRPr="00621A4F" w14:paraId="51467280" w14:textId="77777777" w:rsidTr="008B58AA">
        <w:trPr>
          <w:tblHeader/>
        </w:trPr>
        <w:tc>
          <w:tcPr>
            <w:tcW w:w="3969" w:type="dxa"/>
            <w:shd w:val="clear" w:color="auto" w:fill="auto"/>
            <w:vAlign w:val="center"/>
          </w:tcPr>
          <w:p w14:paraId="1D5C4E8A" w14:textId="77777777" w:rsidR="006B3BF2" w:rsidRPr="00935F02" w:rsidRDefault="006B3BF2" w:rsidP="00AD3D49">
            <w:pPr>
              <w:pStyle w:val="NormalWeb"/>
              <w:spacing w:before="0" w:beforeAutospacing="0" w:after="0" w:afterAutospacing="0"/>
              <w:rPr>
                <w:rFonts w:asciiTheme="minorHAnsi" w:eastAsiaTheme="minorHAnsi" w:hAnsiTheme="minorHAnsi" w:cstheme="minorHAnsi"/>
                <w:lang w:eastAsia="en-US"/>
              </w:rPr>
            </w:pPr>
            <w:r>
              <w:rPr>
                <w:rFonts w:asciiTheme="minorHAnsi" w:eastAsiaTheme="minorHAnsi" w:hAnsiTheme="minorHAnsi" w:cstheme="minorHAnsi"/>
                <w:lang w:eastAsia="en-US"/>
              </w:rPr>
              <w:t>Année pendant laquelle la délinquance a été enregistrée</w:t>
            </w:r>
          </w:p>
        </w:tc>
        <w:tc>
          <w:tcPr>
            <w:tcW w:w="5103" w:type="dxa"/>
            <w:gridSpan w:val="3"/>
            <w:shd w:val="clear" w:color="auto" w:fill="auto"/>
            <w:vAlign w:val="center"/>
          </w:tcPr>
          <w:p w14:paraId="793DC1F3" w14:textId="77777777" w:rsidR="006B3BF2" w:rsidRPr="00621A4F" w:rsidRDefault="006B3BF2" w:rsidP="00AD3D49">
            <w:pPr>
              <w:pStyle w:val="NormalWeb"/>
              <w:spacing w:before="0" w:beforeAutospacing="0" w:after="0" w:afterAutospacing="0"/>
              <w:jc w:val="center"/>
              <w:rPr>
                <w:rFonts w:asciiTheme="minorHAnsi" w:eastAsiaTheme="minorHAnsi" w:hAnsiTheme="minorHAnsi" w:cstheme="minorHAnsi"/>
                <w:lang w:eastAsia="en-US"/>
              </w:rPr>
            </w:pPr>
            <w:r>
              <w:rPr>
                <w:rFonts w:asciiTheme="minorHAnsi" w:eastAsiaTheme="minorHAnsi" w:hAnsiTheme="minorHAnsi" w:cstheme="minorHAnsi"/>
                <w:lang w:eastAsia="en-US"/>
              </w:rPr>
              <w:t>annee</w:t>
            </w:r>
          </w:p>
        </w:tc>
      </w:tr>
      <w:tr w:rsidR="006B3BF2" w:rsidRPr="00621A4F" w14:paraId="53AC2800" w14:textId="77777777" w:rsidTr="008B58AA">
        <w:trPr>
          <w:tblHeader/>
        </w:trPr>
        <w:tc>
          <w:tcPr>
            <w:tcW w:w="3969" w:type="dxa"/>
            <w:shd w:val="clear" w:color="auto" w:fill="auto"/>
            <w:vAlign w:val="center"/>
          </w:tcPr>
          <w:p w14:paraId="16A36FA5" w14:textId="77777777" w:rsidR="006B3BF2" w:rsidRPr="00935F02" w:rsidRDefault="006B3BF2" w:rsidP="00AD3D49">
            <w:pPr>
              <w:pStyle w:val="NormalWeb"/>
              <w:spacing w:before="0" w:beforeAutospacing="0" w:after="0" w:afterAutospacing="0"/>
              <w:rPr>
                <w:rFonts w:asciiTheme="minorHAnsi" w:eastAsiaTheme="minorHAnsi" w:hAnsiTheme="minorHAnsi" w:cstheme="minorHAnsi"/>
                <w:lang w:eastAsia="en-US"/>
              </w:rPr>
            </w:pPr>
            <w:r>
              <w:rPr>
                <w:rFonts w:asciiTheme="minorHAnsi" w:eastAsiaTheme="minorHAnsi" w:hAnsiTheme="minorHAnsi" w:cstheme="minorHAnsi"/>
                <w:lang w:eastAsia="en-US"/>
              </w:rPr>
              <w:t>Indicateur des crimes et délits</w:t>
            </w:r>
          </w:p>
        </w:tc>
        <w:tc>
          <w:tcPr>
            <w:tcW w:w="3402" w:type="dxa"/>
            <w:gridSpan w:val="2"/>
            <w:shd w:val="clear" w:color="auto" w:fill="auto"/>
            <w:vAlign w:val="center"/>
          </w:tcPr>
          <w:p w14:paraId="16FEC9F0" w14:textId="77777777" w:rsidR="006B3BF2" w:rsidRPr="00621A4F" w:rsidRDefault="006B3BF2" w:rsidP="00AD3D49">
            <w:pPr>
              <w:pStyle w:val="NormalWeb"/>
              <w:spacing w:before="0" w:beforeAutospacing="0" w:after="0" w:afterAutospacing="0"/>
              <w:jc w:val="center"/>
              <w:rPr>
                <w:rFonts w:asciiTheme="minorHAnsi" w:eastAsiaTheme="minorHAnsi" w:hAnsiTheme="minorHAnsi" w:cstheme="minorHAnsi"/>
                <w:lang w:eastAsia="en-US"/>
              </w:rPr>
            </w:pPr>
            <w:r>
              <w:rPr>
                <w:rFonts w:asciiTheme="minorHAnsi" w:eastAsiaTheme="minorHAnsi" w:hAnsiTheme="minorHAnsi" w:cstheme="minorHAnsi"/>
                <w:lang w:eastAsia="en-US"/>
              </w:rPr>
              <w:t>indicateur</w:t>
            </w:r>
          </w:p>
        </w:tc>
        <w:tc>
          <w:tcPr>
            <w:tcW w:w="1701" w:type="dxa"/>
            <w:shd w:val="clear" w:color="auto" w:fill="auto"/>
            <w:vAlign w:val="center"/>
          </w:tcPr>
          <w:p w14:paraId="4795AA1E" w14:textId="77777777" w:rsidR="006B3BF2" w:rsidRPr="00621A4F" w:rsidRDefault="006B3BF2" w:rsidP="00AD3D49">
            <w:pPr>
              <w:pStyle w:val="NormalWeb"/>
              <w:spacing w:before="0" w:beforeAutospacing="0" w:after="0" w:afterAutospacing="0"/>
              <w:jc w:val="center"/>
              <w:rPr>
                <w:rFonts w:asciiTheme="minorHAnsi" w:eastAsiaTheme="minorHAnsi" w:hAnsiTheme="minorHAnsi" w:cstheme="minorHAnsi"/>
                <w:lang w:eastAsia="en-US"/>
              </w:rPr>
            </w:pPr>
            <w:r>
              <w:rPr>
                <w:rFonts w:asciiTheme="minorHAnsi" w:eastAsiaTheme="minorHAnsi" w:hAnsiTheme="minorHAnsi" w:cstheme="minorHAnsi"/>
                <w:lang w:eastAsia="en-US"/>
              </w:rPr>
              <w:t>classe</w:t>
            </w:r>
          </w:p>
        </w:tc>
      </w:tr>
      <w:tr w:rsidR="006B3BF2" w:rsidRPr="00621A4F" w14:paraId="31ED1663" w14:textId="77777777" w:rsidTr="008B58AA">
        <w:trPr>
          <w:tblHeader/>
        </w:trPr>
        <w:tc>
          <w:tcPr>
            <w:tcW w:w="3969" w:type="dxa"/>
            <w:shd w:val="clear" w:color="auto" w:fill="auto"/>
            <w:vAlign w:val="center"/>
          </w:tcPr>
          <w:p w14:paraId="0E875F72" w14:textId="77777777" w:rsidR="006B3BF2" w:rsidRPr="00935F02" w:rsidRDefault="006B3BF2" w:rsidP="00AD3D49">
            <w:pPr>
              <w:pStyle w:val="NormalWeb"/>
              <w:spacing w:before="0" w:beforeAutospacing="0" w:after="0" w:afterAutospacing="0"/>
              <w:rPr>
                <w:rFonts w:asciiTheme="minorHAnsi" w:eastAsiaTheme="minorHAnsi" w:hAnsiTheme="minorHAnsi" w:cstheme="minorHAnsi"/>
                <w:lang w:eastAsia="en-US"/>
              </w:rPr>
            </w:pPr>
            <w:r>
              <w:rPr>
                <w:rFonts w:asciiTheme="minorHAnsi" w:eastAsiaTheme="minorHAnsi" w:hAnsiTheme="minorHAnsi" w:cstheme="minorHAnsi"/>
                <w:lang w:eastAsia="en-US"/>
              </w:rPr>
              <w:t>Unité de compte associée à l’indicateur</w:t>
            </w:r>
          </w:p>
        </w:tc>
        <w:tc>
          <w:tcPr>
            <w:tcW w:w="3402" w:type="dxa"/>
            <w:gridSpan w:val="2"/>
            <w:shd w:val="clear" w:color="auto" w:fill="auto"/>
            <w:vAlign w:val="center"/>
          </w:tcPr>
          <w:p w14:paraId="7A654AEA" w14:textId="77777777" w:rsidR="006B3BF2" w:rsidRPr="00621A4F" w:rsidRDefault="006B3BF2" w:rsidP="00AD3D49">
            <w:pPr>
              <w:pStyle w:val="NormalWeb"/>
              <w:spacing w:before="0" w:beforeAutospacing="0" w:after="0" w:afterAutospacing="0"/>
              <w:jc w:val="center"/>
              <w:rPr>
                <w:rFonts w:asciiTheme="minorHAnsi" w:eastAsiaTheme="minorHAnsi" w:hAnsiTheme="minorHAnsi" w:cstheme="minorHAnsi"/>
                <w:lang w:eastAsia="en-US"/>
              </w:rPr>
            </w:pPr>
            <w:r>
              <w:rPr>
                <w:rFonts w:asciiTheme="minorHAnsi" w:eastAsiaTheme="minorHAnsi" w:hAnsiTheme="minorHAnsi" w:cstheme="minorHAnsi"/>
                <w:lang w:eastAsia="en-US"/>
              </w:rPr>
              <w:t>unite_de_compte</w:t>
            </w:r>
          </w:p>
        </w:tc>
        <w:tc>
          <w:tcPr>
            <w:tcW w:w="1701" w:type="dxa"/>
            <w:shd w:val="clear" w:color="auto" w:fill="auto"/>
            <w:vAlign w:val="center"/>
          </w:tcPr>
          <w:p w14:paraId="1AF7DD2F" w14:textId="77777777" w:rsidR="006B3BF2" w:rsidRPr="00621A4F" w:rsidRDefault="006B3BF2" w:rsidP="00AD3D49">
            <w:pPr>
              <w:pStyle w:val="NormalWeb"/>
              <w:spacing w:before="0" w:beforeAutospacing="0" w:after="0" w:afterAutospacing="0"/>
              <w:jc w:val="center"/>
              <w:rPr>
                <w:rFonts w:asciiTheme="minorHAnsi" w:eastAsiaTheme="minorHAnsi" w:hAnsiTheme="minorHAnsi" w:cstheme="minorHAnsi"/>
                <w:lang w:eastAsia="en-US"/>
              </w:rPr>
            </w:pPr>
            <w:r w:rsidRPr="00D54086">
              <w:rPr>
                <w:rFonts w:asciiTheme="minorHAnsi" w:eastAsiaTheme="minorHAnsi" w:hAnsiTheme="minorHAnsi" w:cstheme="minorHAnsi"/>
                <w:lang w:eastAsia="en-US"/>
              </w:rPr>
              <w:t>unité.de.compte</w:t>
            </w:r>
          </w:p>
        </w:tc>
      </w:tr>
      <w:tr w:rsidR="006B3BF2" w14:paraId="038BA7E9" w14:textId="77777777" w:rsidTr="008B58AA">
        <w:trPr>
          <w:tblHeader/>
        </w:trPr>
        <w:tc>
          <w:tcPr>
            <w:tcW w:w="3969" w:type="dxa"/>
            <w:shd w:val="clear" w:color="auto" w:fill="auto"/>
            <w:vAlign w:val="center"/>
          </w:tcPr>
          <w:p w14:paraId="6F80A449" w14:textId="77777777" w:rsidR="006B3BF2" w:rsidRDefault="006B3BF2" w:rsidP="008B58AA">
            <w:pPr>
              <w:pStyle w:val="NormalWeb"/>
              <w:spacing w:before="0" w:beforeAutospacing="0" w:after="0" w:afterAutospacing="0"/>
              <w:rPr>
                <w:rFonts w:asciiTheme="minorHAnsi" w:eastAsiaTheme="minorHAnsi" w:hAnsiTheme="minorHAnsi" w:cstheme="minorHAnsi"/>
                <w:lang w:eastAsia="en-US"/>
              </w:rPr>
            </w:pPr>
            <w:r>
              <w:rPr>
                <w:rFonts w:asciiTheme="minorHAnsi" w:eastAsiaTheme="minorHAnsi" w:hAnsiTheme="minorHAnsi" w:cstheme="minorHAnsi"/>
                <w:lang w:eastAsia="en-US"/>
              </w:rPr>
              <w:t>Indicatrice de secret statistique (valeur diffusée ou non)</w:t>
            </w:r>
          </w:p>
        </w:tc>
        <w:tc>
          <w:tcPr>
            <w:tcW w:w="1701" w:type="dxa"/>
            <w:shd w:val="clear" w:color="auto" w:fill="E7E6E6" w:themeFill="background2"/>
            <w:vAlign w:val="center"/>
          </w:tcPr>
          <w:p w14:paraId="352B79EF" w14:textId="77777777" w:rsidR="006B3BF2" w:rsidRDefault="006B3BF2" w:rsidP="008B58AA">
            <w:pPr>
              <w:pStyle w:val="NormalWeb"/>
              <w:spacing w:before="0" w:beforeAutospacing="0" w:after="0" w:afterAutospacing="0"/>
              <w:jc w:val="center"/>
              <w:rPr>
                <w:rFonts w:asciiTheme="minorHAnsi" w:eastAsiaTheme="minorHAnsi" w:hAnsiTheme="minorHAnsi" w:cstheme="minorHAnsi"/>
                <w:lang w:eastAsia="en-US"/>
              </w:rPr>
            </w:pPr>
          </w:p>
        </w:tc>
        <w:tc>
          <w:tcPr>
            <w:tcW w:w="1701" w:type="dxa"/>
            <w:shd w:val="clear" w:color="auto" w:fill="E7E6E6" w:themeFill="background2"/>
            <w:vAlign w:val="center"/>
          </w:tcPr>
          <w:p w14:paraId="5FF19193" w14:textId="77777777" w:rsidR="006B3BF2" w:rsidRDefault="006B3BF2" w:rsidP="008B58AA">
            <w:pPr>
              <w:pStyle w:val="NormalWeb"/>
              <w:spacing w:before="0" w:beforeAutospacing="0" w:after="0" w:afterAutospacing="0"/>
              <w:jc w:val="center"/>
              <w:rPr>
                <w:rFonts w:asciiTheme="minorHAnsi" w:eastAsiaTheme="minorHAnsi" w:hAnsiTheme="minorHAnsi" w:cstheme="minorHAnsi"/>
                <w:lang w:eastAsia="en-US"/>
              </w:rPr>
            </w:pPr>
          </w:p>
        </w:tc>
        <w:tc>
          <w:tcPr>
            <w:tcW w:w="1701" w:type="dxa"/>
            <w:shd w:val="clear" w:color="auto" w:fill="auto"/>
            <w:vAlign w:val="center"/>
          </w:tcPr>
          <w:p w14:paraId="516AA6BE" w14:textId="77777777" w:rsidR="006B3BF2" w:rsidRDefault="006B3BF2" w:rsidP="008B58AA">
            <w:pPr>
              <w:pStyle w:val="NormalWeb"/>
              <w:spacing w:before="0" w:beforeAutospacing="0" w:after="0" w:afterAutospacing="0"/>
              <w:jc w:val="center"/>
              <w:rPr>
                <w:rFonts w:asciiTheme="minorHAnsi" w:eastAsiaTheme="minorHAnsi" w:hAnsiTheme="minorHAnsi" w:cstheme="minorHAnsi"/>
                <w:lang w:eastAsia="en-US"/>
              </w:rPr>
            </w:pPr>
            <w:r w:rsidRPr="00CF39DC">
              <w:rPr>
                <w:rFonts w:asciiTheme="minorHAnsi" w:eastAsiaTheme="minorHAnsi" w:hAnsiTheme="minorHAnsi" w:cstheme="minorHAnsi"/>
                <w:lang w:eastAsia="en-US"/>
              </w:rPr>
              <w:t>valeur.publiée</w:t>
            </w:r>
          </w:p>
        </w:tc>
      </w:tr>
      <w:tr w:rsidR="006B3BF2" w:rsidRPr="00621A4F" w14:paraId="643AA2CF" w14:textId="77777777" w:rsidTr="008B58AA">
        <w:trPr>
          <w:tblHeader/>
        </w:trPr>
        <w:tc>
          <w:tcPr>
            <w:tcW w:w="3969" w:type="dxa"/>
            <w:shd w:val="clear" w:color="auto" w:fill="auto"/>
            <w:vAlign w:val="center"/>
          </w:tcPr>
          <w:p w14:paraId="1FB543CD" w14:textId="19E0BACF" w:rsidR="006B3BF2" w:rsidRPr="00935F02" w:rsidRDefault="006B3BF2" w:rsidP="00AD3D49">
            <w:pPr>
              <w:pStyle w:val="NormalWeb"/>
              <w:spacing w:before="0" w:beforeAutospacing="0" w:after="0" w:afterAutospacing="0"/>
              <w:rPr>
                <w:rFonts w:asciiTheme="minorHAnsi" w:eastAsiaTheme="minorHAnsi" w:hAnsiTheme="minorHAnsi" w:cstheme="minorHAnsi"/>
                <w:lang w:eastAsia="en-US"/>
              </w:rPr>
            </w:pPr>
            <w:r>
              <w:rPr>
                <w:rFonts w:asciiTheme="minorHAnsi" w:eastAsiaTheme="minorHAnsi" w:hAnsiTheme="minorHAnsi" w:cstheme="minorHAnsi"/>
                <w:lang w:eastAsia="en-US"/>
              </w:rPr>
              <w:t>Valeur de l’indicateur en unités de compte (nombre de « fait</w:t>
            </w:r>
            <w:r w:rsidR="00A755A0">
              <w:rPr>
                <w:rFonts w:asciiTheme="minorHAnsi" w:eastAsiaTheme="minorHAnsi" w:hAnsiTheme="minorHAnsi" w:cstheme="minorHAnsi"/>
                <w:lang w:eastAsia="en-US"/>
              </w:rPr>
              <w:t>s</w:t>
            </w:r>
            <w:r>
              <w:rPr>
                <w:rFonts w:asciiTheme="minorHAnsi" w:eastAsiaTheme="minorHAnsi" w:hAnsiTheme="minorHAnsi" w:cstheme="minorHAnsi"/>
                <w:lang w:eastAsia="en-US"/>
              </w:rPr>
              <w:t> » de délinquance enregistrés)</w:t>
            </w:r>
          </w:p>
        </w:tc>
        <w:tc>
          <w:tcPr>
            <w:tcW w:w="3402" w:type="dxa"/>
            <w:gridSpan w:val="2"/>
            <w:shd w:val="clear" w:color="auto" w:fill="auto"/>
            <w:vAlign w:val="center"/>
          </w:tcPr>
          <w:p w14:paraId="07F6E51F" w14:textId="77777777" w:rsidR="006B3BF2" w:rsidRPr="00621A4F" w:rsidRDefault="006B3BF2" w:rsidP="00AD3D49">
            <w:pPr>
              <w:pStyle w:val="NormalWeb"/>
              <w:spacing w:before="0" w:beforeAutospacing="0" w:after="0" w:afterAutospacing="0"/>
              <w:jc w:val="center"/>
              <w:rPr>
                <w:rFonts w:asciiTheme="minorHAnsi" w:eastAsiaTheme="minorHAnsi" w:hAnsiTheme="minorHAnsi" w:cstheme="minorHAnsi"/>
                <w:lang w:eastAsia="en-US"/>
              </w:rPr>
            </w:pPr>
            <w:r>
              <w:rPr>
                <w:rFonts w:asciiTheme="minorHAnsi" w:eastAsiaTheme="minorHAnsi" w:hAnsiTheme="minorHAnsi" w:cstheme="minorHAnsi"/>
                <w:lang w:eastAsia="en-US"/>
              </w:rPr>
              <w:t>nombre</w:t>
            </w:r>
          </w:p>
        </w:tc>
        <w:tc>
          <w:tcPr>
            <w:tcW w:w="1701" w:type="dxa"/>
            <w:shd w:val="clear" w:color="auto" w:fill="auto"/>
            <w:vAlign w:val="center"/>
          </w:tcPr>
          <w:p w14:paraId="25C07AFA" w14:textId="77777777" w:rsidR="006B3BF2" w:rsidRPr="00621A4F" w:rsidRDefault="006B3BF2" w:rsidP="00AD3D49">
            <w:pPr>
              <w:pStyle w:val="NormalWeb"/>
              <w:spacing w:before="0" w:beforeAutospacing="0" w:after="0" w:afterAutospacing="0"/>
              <w:jc w:val="center"/>
              <w:rPr>
                <w:rFonts w:asciiTheme="minorHAnsi" w:eastAsiaTheme="minorHAnsi" w:hAnsiTheme="minorHAnsi" w:cstheme="minorHAnsi"/>
                <w:lang w:eastAsia="en-US"/>
              </w:rPr>
            </w:pPr>
            <w:r>
              <w:rPr>
                <w:rFonts w:asciiTheme="minorHAnsi" w:eastAsiaTheme="minorHAnsi" w:hAnsiTheme="minorHAnsi" w:cstheme="minorHAnsi"/>
                <w:lang w:eastAsia="en-US"/>
              </w:rPr>
              <w:t>faits</w:t>
            </w:r>
          </w:p>
        </w:tc>
      </w:tr>
      <w:tr w:rsidR="006B3BF2" w:rsidRPr="00621A4F" w14:paraId="1A86C869" w14:textId="77777777" w:rsidTr="008B58AA">
        <w:trPr>
          <w:tblHeader/>
        </w:trPr>
        <w:tc>
          <w:tcPr>
            <w:tcW w:w="3969" w:type="dxa"/>
            <w:shd w:val="clear" w:color="auto" w:fill="auto"/>
            <w:vAlign w:val="center"/>
          </w:tcPr>
          <w:p w14:paraId="3884BECF" w14:textId="77777777" w:rsidR="006B3BF2" w:rsidRPr="00935F02" w:rsidRDefault="006B3BF2" w:rsidP="00AD3D49">
            <w:pPr>
              <w:pStyle w:val="NormalWeb"/>
              <w:spacing w:before="0" w:beforeAutospacing="0" w:after="0" w:afterAutospacing="0"/>
              <w:rPr>
                <w:rFonts w:asciiTheme="minorHAnsi" w:eastAsiaTheme="minorHAnsi" w:hAnsiTheme="minorHAnsi" w:cstheme="minorHAnsi"/>
                <w:lang w:eastAsia="en-US"/>
              </w:rPr>
            </w:pPr>
            <w:r>
              <w:rPr>
                <w:rFonts w:asciiTheme="minorHAnsi" w:eastAsiaTheme="minorHAnsi" w:hAnsiTheme="minorHAnsi" w:cstheme="minorHAnsi"/>
                <w:lang w:eastAsia="en-US"/>
              </w:rPr>
              <w:t>Valeur pour 1 000 habitants (ou 1 000 logements dans le cas des cambriolages)</w:t>
            </w:r>
          </w:p>
        </w:tc>
        <w:tc>
          <w:tcPr>
            <w:tcW w:w="3402" w:type="dxa"/>
            <w:gridSpan w:val="2"/>
            <w:shd w:val="clear" w:color="auto" w:fill="auto"/>
            <w:vAlign w:val="center"/>
          </w:tcPr>
          <w:p w14:paraId="5798DC58" w14:textId="77777777" w:rsidR="006B3BF2" w:rsidRPr="00621A4F" w:rsidRDefault="006B3BF2" w:rsidP="00AD3D49">
            <w:pPr>
              <w:pStyle w:val="NormalWeb"/>
              <w:spacing w:before="0" w:beforeAutospacing="0" w:after="0" w:afterAutospacing="0"/>
              <w:jc w:val="center"/>
              <w:rPr>
                <w:rFonts w:asciiTheme="minorHAnsi" w:eastAsiaTheme="minorHAnsi" w:hAnsiTheme="minorHAnsi" w:cstheme="minorHAnsi"/>
                <w:lang w:eastAsia="en-US"/>
              </w:rPr>
            </w:pPr>
            <w:r>
              <w:rPr>
                <w:rFonts w:asciiTheme="minorHAnsi" w:eastAsiaTheme="minorHAnsi" w:hAnsiTheme="minorHAnsi" w:cstheme="minorHAnsi"/>
                <w:lang w:eastAsia="en-US"/>
              </w:rPr>
              <w:t>taux_pour_mille</w:t>
            </w:r>
          </w:p>
        </w:tc>
        <w:tc>
          <w:tcPr>
            <w:tcW w:w="1701" w:type="dxa"/>
            <w:shd w:val="clear" w:color="auto" w:fill="auto"/>
            <w:vAlign w:val="center"/>
          </w:tcPr>
          <w:p w14:paraId="1E4A114F" w14:textId="77777777" w:rsidR="006B3BF2" w:rsidRPr="00621A4F" w:rsidRDefault="006B3BF2" w:rsidP="00AD3D49">
            <w:pPr>
              <w:pStyle w:val="NormalWeb"/>
              <w:spacing w:before="0" w:beforeAutospacing="0" w:after="0" w:afterAutospacing="0"/>
              <w:jc w:val="center"/>
              <w:rPr>
                <w:rFonts w:asciiTheme="minorHAnsi" w:eastAsiaTheme="minorHAnsi" w:hAnsiTheme="minorHAnsi" w:cstheme="minorHAnsi"/>
                <w:lang w:eastAsia="en-US"/>
              </w:rPr>
            </w:pPr>
            <w:r>
              <w:rPr>
                <w:rFonts w:asciiTheme="minorHAnsi" w:eastAsiaTheme="minorHAnsi" w:hAnsiTheme="minorHAnsi" w:cstheme="minorHAnsi"/>
                <w:lang w:eastAsia="en-US"/>
              </w:rPr>
              <w:t>tauxpourmille</w:t>
            </w:r>
          </w:p>
        </w:tc>
      </w:tr>
      <w:tr w:rsidR="006B3BF2" w:rsidRPr="00621A4F" w14:paraId="540EB225" w14:textId="77777777" w:rsidTr="008B58AA">
        <w:trPr>
          <w:tblHeader/>
        </w:trPr>
        <w:tc>
          <w:tcPr>
            <w:tcW w:w="3969" w:type="dxa"/>
            <w:shd w:val="clear" w:color="auto" w:fill="auto"/>
            <w:vAlign w:val="center"/>
          </w:tcPr>
          <w:p w14:paraId="3FC32D46" w14:textId="38F33458" w:rsidR="006B3BF2" w:rsidRPr="00935F02" w:rsidRDefault="006B3BF2" w:rsidP="00AD3D49">
            <w:pPr>
              <w:pStyle w:val="NormalWeb"/>
              <w:spacing w:before="0" w:beforeAutospacing="0" w:after="0" w:afterAutospacing="0"/>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Valeur moyenne </w:t>
            </w:r>
            <w:r w:rsidR="00B013D4">
              <w:rPr>
                <w:rFonts w:asciiTheme="minorHAnsi" w:eastAsiaTheme="minorHAnsi" w:hAnsiTheme="minorHAnsi" w:cstheme="minorHAnsi"/>
                <w:lang w:eastAsia="en-US"/>
              </w:rPr>
              <w:t>p</w:t>
            </w:r>
            <w:r w:rsidR="00C25502">
              <w:rPr>
                <w:rFonts w:asciiTheme="minorHAnsi" w:eastAsiaTheme="minorHAnsi" w:hAnsiTheme="minorHAnsi" w:cstheme="minorHAnsi"/>
                <w:lang w:eastAsia="en-US"/>
              </w:rPr>
              <w:t>armi</w:t>
            </w:r>
            <w:r w:rsidR="00B013D4">
              <w:rPr>
                <w:rFonts w:asciiTheme="minorHAnsi" w:eastAsiaTheme="minorHAnsi" w:hAnsiTheme="minorHAnsi" w:cstheme="minorHAnsi"/>
                <w:lang w:eastAsia="en-US"/>
              </w:rPr>
              <w:t xml:space="preserve"> les communes du département sous secret statistique</w:t>
            </w:r>
          </w:p>
        </w:tc>
        <w:tc>
          <w:tcPr>
            <w:tcW w:w="1701" w:type="dxa"/>
            <w:shd w:val="clear" w:color="auto" w:fill="E7E6E6" w:themeFill="background2"/>
            <w:vAlign w:val="center"/>
          </w:tcPr>
          <w:p w14:paraId="3DACBB0F" w14:textId="77777777" w:rsidR="006B3BF2" w:rsidRPr="00935F02" w:rsidRDefault="006B3BF2" w:rsidP="00AD3D49">
            <w:pPr>
              <w:pStyle w:val="NormalWeb"/>
              <w:spacing w:before="0" w:beforeAutospacing="0" w:after="0" w:afterAutospacing="0"/>
              <w:jc w:val="center"/>
              <w:rPr>
                <w:rFonts w:asciiTheme="minorHAnsi" w:eastAsiaTheme="minorHAnsi" w:hAnsiTheme="minorHAnsi" w:cstheme="minorHAnsi"/>
                <w:lang w:eastAsia="en-US"/>
              </w:rPr>
            </w:pPr>
          </w:p>
        </w:tc>
        <w:tc>
          <w:tcPr>
            <w:tcW w:w="1701" w:type="dxa"/>
            <w:shd w:val="clear" w:color="auto" w:fill="E7E6E6" w:themeFill="background2"/>
            <w:vAlign w:val="center"/>
          </w:tcPr>
          <w:p w14:paraId="2691061E" w14:textId="77777777" w:rsidR="006B3BF2" w:rsidRPr="00621A4F" w:rsidRDefault="006B3BF2" w:rsidP="00AD3D49">
            <w:pPr>
              <w:pStyle w:val="NormalWeb"/>
              <w:spacing w:before="0" w:beforeAutospacing="0" w:after="0" w:afterAutospacing="0"/>
              <w:jc w:val="center"/>
              <w:rPr>
                <w:rFonts w:asciiTheme="minorHAnsi" w:eastAsiaTheme="minorHAnsi" w:hAnsiTheme="minorHAnsi" w:cstheme="minorHAnsi"/>
                <w:lang w:eastAsia="en-US"/>
              </w:rPr>
            </w:pPr>
          </w:p>
        </w:tc>
        <w:tc>
          <w:tcPr>
            <w:tcW w:w="1701" w:type="dxa"/>
            <w:shd w:val="clear" w:color="auto" w:fill="auto"/>
            <w:vAlign w:val="center"/>
          </w:tcPr>
          <w:p w14:paraId="24A4744F" w14:textId="77777777" w:rsidR="006B3BF2" w:rsidRPr="00621A4F" w:rsidRDefault="006B3BF2" w:rsidP="00AD3D49">
            <w:pPr>
              <w:pStyle w:val="NormalWeb"/>
              <w:spacing w:before="0" w:beforeAutospacing="0" w:after="0" w:afterAutospacing="0"/>
              <w:jc w:val="center"/>
              <w:rPr>
                <w:rFonts w:asciiTheme="minorHAnsi" w:eastAsiaTheme="minorHAnsi" w:hAnsiTheme="minorHAnsi" w:cstheme="minorHAnsi"/>
                <w:lang w:eastAsia="en-US"/>
              </w:rPr>
            </w:pPr>
            <w:r w:rsidRPr="00FD0C9C">
              <w:rPr>
                <w:rFonts w:asciiTheme="minorHAnsi" w:eastAsiaTheme="minorHAnsi" w:hAnsiTheme="minorHAnsi" w:cstheme="minorHAnsi"/>
                <w:lang w:eastAsia="en-US"/>
              </w:rPr>
              <w:t>complementinfoval</w:t>
            </w:r>
          </w:p>
        </w:tc>
      </w:tr>
      <w:tr w:rsidR="006B3BF2" w:rsidRPr="00621A4F" w14:paraId="439E1AB5" w14:textId="77777777" w:rsidTr="008B58AA">
        <w:trPr>
          <w:tblHeader/>
        </w:trPr>
        <w:tc>
          <w:tcPr>
            <w:tcW w:w="3969" w:type="dxa"/>
            <w:shd w:val="clear" w:color="auto" w:fill="auto"/>
            <w:vAlign w:val="center"/>
          </w:tcPr>
          <w:p w14:paraId="52D51F2A" w14:textId="1BE273AC" w:rsidR="006B3BF2" w:rsidRPr="00935F02" w:rsidRDefault="006B3BF2" w:rsidP="00AD3D49">
            <w:pPr>
              <w:pStyle w:val="NormalWeb"/>
              <w:spacing w:before="0" w:beforeAutospacing="0" w:after="0" w:afterAutospacing="0"/>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Valeur pour 1 000 moyenne </w:t>
            </w:r>
            <w:r w:rsidR="00C25502">
              <w:rPr>
                <w:rFonts w:asciiTheme="minorHAnsi" w:eastAsiaTheme="minorHAnsi" w:hAnsiTheme="minorHAnsi" w:cstheme="minorHAnsi"/>
                <w:lang w:eastAsia="en-US"/>
              </w:rPr>
              <w:t>parmi les communes du département sous secret statistique</w:t>
            </w:r>
          </w:p>
        </w:tc>
        <w:tc>
          <w:tcPr>
            <w:tcW w:w="1701" w:type="dxa"/>
            <w:shd w:val="clear" w:color="auto" w:fill="E7E6E6" w:themeFill="background2"/>
            <w:vAlign w:val="center"/>
          </w:tcPr>
          <w:p w14:paraId="55197369" w14:textId="77777777" w:rsidR="006B3BF2" w:rsidRPr="00935F02" w:rsidRDefault="006B3BF2" w:rsidP="00AD3D49">
            <w:pPr>
              <w:pStyle w:val="NormalWeb"/>
              <w:spacing w:before="0" w:beforeAutospacing="0" w:after="0" w:afterAutospacing="0"/>
              <w:jc w:val="center"/>
              <w:rPr>
                <w:rFonts w:asciiTheme="minorHAnsi" w:eastAsiaTheme="minorHAnsi" w:hAnsiTheme="minorHAnsi" w:cstheme="minorHAnsi"/>
                <w:lang w:eastAsia="en-US"/>
              </w:rPr>
            </w:pPr>
          </w:p>
        </w:tc>
        <w:tc>
          <w:tcPr>
            <w:tcW w:w="1701" w:type="dxa"/>
            <w:shd w:val="clear" w:color="auto" w:fill="E7E6E6" w:themeFill="background2"/>
            <w:vAlign w:val="center"/>
          </w:tcPr>
          <w:p w14:paraId="4C6D653A" w14:textId="77777777" w:rsidR="006B3BF2" w:rsidRPr="00621A4F" w:rsidRDefault="006B3BF2" w:rsidP="00AD3D49">
            <w:pPr>
              <w:pStyle w:val="NormalWeb"/>
              <w:spacing w:before="0" w:beforeAutospacing="0" w:after="0" w:afterAutospacing="0"/>
              <w:jc w:val="center"/>
              <w:rPr>
                <w:rFonts w:asciiTheme="minorHAnsi" w:eastAsiaTheme="minorHAnsi" w:hAnsiTheme="minorHAnsi" w:cstheme="minorHAnsi"/>
                <w:lang w:eastAsia="en-US"/>
              </w:rPr>
            </w:pPr>
          </w:p>
        </w:tc>
        <w:tc>
          <w:tcPr>
            <w:tcW w:w="1701" w:type="dxa"/>
            <w:shd w:val="clear" w:color="auto" w:fill="auto"/>
            <w:vAlign w:val="center"/>
          </w:tcPr>
          <w:p w14:paraId="1BD132FF" w14:textId="77777777" w:rsidR="006B3BF2" w:rsidRPr="00621A4F" w:rsidRDefault="006B3BF2" w:rsidP="00AD3D49">
            <w:pPr>
              <w:pStyle w:val="NormalWeb"/>
              <w:spacing w:before="0" w:beforeAutospacing="0" w:after="0" w:afterAutospacing="0"/>
              <w:jc w:val="center"/>
              <w:rPr>
                <w:rFonts w:asciiTheme="minorHAnsi" w:eastAsiaTheme="minorHAnsi" w:hAnsiTheme="minorHAnsi" w:cstheme="minorHAnsi"/>
                <w:lang w:eastAsia="en-US"/>
              </w:rPr>
            </w:pPr>
            <w:r w:rsidRPr="00FD0C9C">
              <w:rPr>
                <w:rFonts w:asciiTheme="minorHAnsi" w:eastAsiaTheme="minorHAnsi" w:hAnsiTheme="minorHAnsi" w:cstheme="minorHAnsi"/>
                <w:lang w:eastAsia="en-US"/>
              </w:rPr>
              <w:t>complementinfotaux</w:t>
            </w:r>
          </w:p>
        </w:tc>
      </w:tr>
      <w:tr w:rsidR="006B3BF2" w:rsidRPr="00621A4F" w14:paraId="7FE46DD7" w14:textId="77777777" w:rsidTr="008B58AA">
        <w:trPr>
          <w:tblHeader/>
        </w:trPr>
        <w:tc>
          <w:tcPr>
            <w:tcW w:w="3969" w:type="dxa"/>
            <w:shd w:val="clear" w:color="auto" w:fill="auto"/>
            <w:vAlign w:val="center"/>
          </w:tcPr>
          <w:p w14:paraId="237362D4" w14:textId="77777777" w:rsidR="006B3BF2" w:rsidRPr="00935F02" w:rsidRDefault="006B3BF2" w:rsidP="00AD3D49">
            <w:pPr>
              <w:pStyle w:val="NormalWeb"/>
              <w:spacing w:before="0" w:beforeAutospacing="0" w:after="0" w:afterAutospacing="0"/>
              <w:rPr>
                <w:rFonts w:asciiTheme="minorHAnsi" w:eastAsiaTheme="minorHAnsi" w:hAnsiTheme="minorHAnsi" w:cstheme="minorHAnsi"/>
                <w:lang w:eastAsia="en-US"/>
              </w:rPr>
            </w:pPr>
            <w:r>
              <w:rPr>
                <w:rFonts w:asciiTheme="minorHAnsi" w:eastAsiaTheme="minorHAnsi" w:hAnsiTheme="minorHAnsi" w:cstheme="minorHAnsi"/>
                <w:lang w:eastAsia="en-US"/>
              </w:rPr>
              <w:t>Population municipale</w:t>
            </w:r>
          </w:p>
        </w:tc>
        <w:tc>
          <w:tcPr>
            <w:tcW w:w="3402" w:type="dxa"/>
            <w:gridSpan w:val="2"/>
            <w:shd w:val="clear" w:color="auto" w:fill="auto"/>
            <w:vAlign w:val="center"/>
          </w:tcPr>
          <w:p w14:paraId="1CA32706" w14:textId="77777777" w:rsidR="006B3BF2" w:rsidRPr="00621A4F" w:rsidRDefault="006B3BF2" w:rsidP="00AD3D49">
            <w:pPr>
              <w:pStyle w:val="NormalWeb"/>
              <w:spacing w:before="0" w:beforeAutospacing="0" w:after="0" w:afterAutospacing="0"/>
              <w:jc w:val="center"/>
              <w:rPr>
                <w:rFonts w:asciiTheme="minorHAnsi" w:eastAsiaTheme="minorHAnsi" w:hAnsiTheme="minorHAnsi" w:cstheme="minorHAnsi"/>
                <w:lang w:eastAsia="en-US"/>
              </w:rPr>
            </w:pPr>
            <w:r>
              <w:rPr>
                <w:rFonts w:asciiTheme="minorHAnsi" w:eastAsiaTheme="minorHAnsi" w:hAnsiTheme="minorHAnsi" w:cstheme="minorHAnsi"/>
                <w:lang w:eastAsia="en-US"/>
              </w:rPr>
              <w:t>insee_pop</w:t>
            </w:r>
          </w:p>
        </w:tc>
        <w:tc>
          <w:tcPr>
            <w:tcW w:w="1701" w:type="dxa"/>
            <w:shd w:val="clear" w:color="auto" w:fill="auto"/>
            <w:vAlign w:val="center"/>
          </w:tcPr>
          <w:p w14:paraId="3A1CDA03" w14:textId="77777777" w:rsidR="006B3BF2" w:rsidRPr="00621A4F" w:rsidRDefault="006B3BF2" w:rsidP="00AD3D49">
            <w:pPr>
              <w:pStyle w:val="NormalWeb"/>
              <w:spacing w:before="0" w:beforeAutospacing="0" w:after="0" w:afterAutospacing="0"/>
              <w:jc w:val="center"/>
              <w:rPr>
                <w:rFonts w:asciiTheme="minorHAnsi" w:eastAsiaTheme="minorHAnsi" w:hAnsiTheme="minorHAnsi" w:cstheme="minorHAnsi"/>
                <w:lang w:eastAsia="en-US"/>
              </w:rPr>
            </w:pPr>
            <w:r>
              <w:rPr>
                <w:rFonts w:asciiTheme="minorHAnsi" w:eastAsiaTheme="minorHAnsi" w:hAnsiTheme="minorHAnsi" w:cstheme="minorHAnsi"/>
                <w:lang w:eastAsia="en-US"/>
              </w:rPr>
              <w:t>POP</w:t>
            </w:r>
          </w:p>
        </w:tc>
      </w:tr>
      <w:tr w:rsidR="006B3BF2" w:rsidRPr="00621A4F" w14:paraId="13019487" w14:textId="77777777" w:rsidTr="008B58AA">
        <w:trPr>
          <w:tblHeader/>
        </w:trPr>
        <w:tc>
          <w:tcPr>
            <w:tcW w:w="3969" w:type="dxa"/>
            <w:shd w:val="clear" w:color="auto" w:fill="auto"/>
            <w:vAlign w:val="center"/>
          </w:tcPr>
          <w:p w14:paraId="7956DF9E" w14:textId="77777777" w:rsidR="006B3BF2" w:rsidRPr="00935F02" w:rsidRDefault="006B3BF2" w:rsidP="00AD3D49">
            <w:pPr>
              <w:pStyle w:val="NormalWeb"/>
              <w:spacing w:before="0" w:beforeAutospacing="0" w:after="0" w:afterAutospacing="0"/>
              <w:rPr>
                <w:rFonts w:asciiTheme="minorHAnsi" w:eastAsiaTheme="minorHAnsi" w:hAnsiTheme="minorHAnsi" w:cstheme="minorHAnsi"/>
                <w:lang w:eastAsia="en-US"/>
              </w:rPr>
            </w:pPr>
            <w:r>
              <w:rPr>
                <w:rFonts w:asciiTheme="minorHAnsi" w:eastAsiaTheme="minorHAnsi" w:hAnsiTheme="minorHAnsi" w:cstheme="minorHAnsi"/>
                <w:lang w:eastAsia="en-US"/>
              </w:rPr>
              <w:t>Année de recensement de la population</w:t>
            </w:r>
          </w:p>
        </w:tc>
        <w:tc>
          <w:tcPr>
            <w:tcW w:w="3402" w:type="dxa"/>
            <w:gridSpan w:val="2"/>
            <w:shd w:val="clear" w:color="auto" w:fill="auto"/>
            <w:vAlign w:val="center"/>
          </w:tcPr>
          <w:p w14:paraId="14CD9CD3" w14:textId="77777777" w:rsidR="006B3BF2" w:rsidRPr="00621A4F" w:rsidRDefault="006B3BF2" w:rsidP="00AD3D49">
            <w:pPr>
              <w:pStyle w:val="NormalWeb"/>
              <w:spacing w:before="0" w:beforeAutospacing="0" w:after="0" w:afterAutospacing="0"/>
              <w:jc w:val="center"/>
              <w:rPr>
                <w:rFonts w:asciiTheme="minorHAnsi" w:eastAsiaTheme="minorHAnsi" w:hAnsiTheme="minorHAnsi" w:cstheme="minorHAnsi"/>
                <w:lang w:eastAsia="en-US"/>
              </w:rPr>
            </w:pPr>
            <w:r>
              <w:rPr>
                <w:rFonts w:asciiTheme="minorHAnsi" w:eastAsiaTheme="minorHAnsi" w:hAnsiTheme="minorHAnsi" w:cstheme="minorHAnsi"/>
                <w:lang w:eastAsia="en-US"/>
              </w:rPr>
              <w:t>insee_pop_millesime</w:t>
            </w:r>
          </w:p>
        </w:tc>
        <w:tc>
          <w:tcPr>
            <w:tcW w:w="1701" w:type="dxa"/>
            <w:shd w:val="clear" w:color="auto" w:fill="auto"/>
            <w:vAlign w:val="center"/>
          </w:tcPr>
          <w:p w14:paraId="2F05F7D6" w14:textId="77777777" w:rsidR="006B3BF2" w:rsidRPr="00621A4F" w:rsidRDefault="006B3BF2" w:rsidP="00AD3D49">
            <w:pPr>
              <w:pStyle w:val="NormalWeb"/>
              <w:spacing w:before="0" w:beforeAutospacing="0" w:after="0" w:afterAutospacing="0"/>
              <w:jc w:val="center"/>
              <w:rPr>
                <w:rFonts w:asciiTheme="minorHAnsi" w:eastAsiaTheme="minorHAnsi" w:hAnsiTheme="minorHAnsi" w:cstheme="minorHAnsi"/>
                <w:lang w:eastAsia="en-US"/>
              </w:rPr>
            </w:pPr>
            <w:r>
              <w:rPr>
                <w:rFonts w:asciiTheme="minorHAnsi" w:eastAsiaTheme="minorHAnsi" w:hAnsiTheme="minorHAnsi" w:cstheme="minorHAnsi"/>
                <w:lang w:eastAsia="en-US"/>
              </w:rPr>
              <w:t>millPOP</w:t>
            </w:r>
          </w:p>
        </w:tc>
      </w:tr>
      <w:tr w:rsidR="006B3BF2" w:rsidRPr="00621A4F" w14:paraId="2668816B" w14:textId="77777777" w:rsidTr="008B58AA">
        <w:trPr>
          <w:tblHeader/>
        </w:trPr>
        <w:tc>
          <w:tcPr>
            <w:tcW w:w="3969" w:type="dxa"/>
            <w:shd w:val="clear" w:color="auto" w:fill="auto"/>
            <w:vAlign w:val="center"/>
          </w:tcPr>
          <w:p w14:paraId="3EABB2F8" w14:textId="77777777" w:rsidR="006B3BF2" w:rsidRPr="00935F02" w:rsidRDefault="006B3BF2" w:rsidP="00AD3D49">
            <w:pPr>
              <w:pStyle w:val="NormalWeb"/>
              <w:spacing w:before="0" w:beforeAutospacing="0" w:after="0" w:afterAutospacing="0"/>
              <w:rPr>
                <w:rFonts w:asciiTheme="minorHAnsi" w:eastAsiaTheme="minorHAnsi" w:hAnsiTheme="minorHAnsi" w:cstheme="minorHAnsi"/>
                <w:lang w:eastAsia="en-US"/>
              </w:rPr>
            </w:pPr>
            <w:r>
              <w:rPr>
                <w:rFonts w:asciiTheme="minorHAnsi" w:eastAsiaTheme="minorHAnsi" w:hAnsiTheme="minorHAnsi" w:cstheme="minorHAnsi"/>
                <w:lang w:eastAsia="en-US"/>
              </w:rPr>
              <w:t>Nombre de logements</w:t>
            </w:r>
          </w:p>
        </w:tc>
        <w:tc>
          <w:tcPr>
            <w:tcW w:w="3402" w:type="dxa"/>
            <w:gridSpan w:val="2"/>
            <w:shd w:val="clear" w:color="auto" w:fill="auto"/>
            <w:vAlign w:val="center"/>
          </w:tcPr>
          <w:p w14:paraId="5BFDA936" w14:textId="77777777" w:rsidR="006B3BF2" w:rsidRPr="00621A4F" w:rsidRDefault="006B3BF2" w:rsidP="00AD3D49">
            <w:pPr>
              <w:pStyle w:val="NormalWeb"/>
              <w:spacing w:before="0" w:beforeAutospacing="0" w:after="0" w:afterAutospacing="0"/>
              <w:jc w:val="center"/>
              <w:rPr>
                <w:rFonts w:asciiTheme="minorHAnsi" w:eastAsiaTheme="minorHAnsi" w:hAnsiTheme="minorHAnsi" w:cstheme="minorHAnsi"/>
                <w:lang w:eastAsia="en-US"/>
              </w:rPr>
            </w:pPr>
            <w:r>
              <w:rPr>
                <w:rFonts w:asciiTheme="minorHAnsi" w:eastAsiaTheme="minorHAnsi" w:hAnsiTheme="minorHAnsi" w:cstheme="minorHAnsi"/>
                <w:lang w:eastAsia="en-US"/>
              </w:rPr>
              <w:t>insee_log</w:t>
            </w:r>
          </w:p>
        </w:tc>
        <w:tc>
          <w:tcPr>
            <w:tcW w:w="1701" w:type="dxa"/>
            <w:shd w:val="clear" w:color="auto" w:fill="auto"/>
            <w:vAlign w:val="center"/>
          </w:tcPr>
          <w:p w14:paraId="2D5163A5" w14:textId="77777777" w:rsidR="006B3BF2" w:rsidRPr="00621A4F" w:rsidRDefault="006B3BF2" w:rsidP="00AD3D49">
            <w:pPr>
              <w:pStyle w:val="NormalWeb"/>
              <w:spacing w:before="0" w:beforeAutospacing="0" w:after="0" w:afterAutospacing="0"/>
              <w:jc w:val="center"/>
              <w:rPr>
                <w:rFonts w:asciiTheme="minorHAnsi" w:eastAsiaTheme="minorHAnsi" w:hAnsiTheme="minorHAnsi" w:cstheme="minorHAnsi"/>
                <w:lang w:eastAsia="en-US"/>
              </w:rPr>
            </w:pPr>
            <w:r>
              <w:rPr>
                <w:rFonts w:asciiTheme="minorHAnsi" w:eastAsiaTheme="minorHAnsi" w:hAnsiTheme="minorHAnsi" w:cstheme="minorHAnsi"/>
                <w:lang w:eastAsia="en-US"/>
              </w:rPr>
              <w:t>LOG</w:t>
            </w:r>
          </w:p>
        </w:tc>
      </w:tr>
      <w:tr w:rsidR="006B3BF2" w:rsidRPr="00621A4F" w14:paraId="4BFAEADB" w14:textId="77777777" w:rsidTr="008B58AA">
        <w:trPr>
          <w:tblHeader/>
        </w:trPr>
        <w:tc>
          <w:tcPr>
            <w:tcW w:w="3969" w:type="dxa"/>
            <w:shd w:val="clear" w:color="auto" w:fill="auto"/>
            <w:vAlign w:val="center"/>
          </w:tcPr>
          <w:p w14:paraId="12399C7F" w14:textId="77777777" w:rsidR="006B3BF2" w:rsidRPr="00935F02" w:rsidRDefault="006B3BF2" w:rsidP="00AD3D49">
            <w:pPr>
              <w:pStyle w:val="NormalWeb"/>
              <w:spacing w:before="0" w:beforeAutospacing="0" w:after="0" w:afterAutospacing="0"/>
              <w:rPr>
                <w:rFonts w:asciiTheme="minorHAnsi" w:eastAsiaTheme="minorHAnsi" w:hAnsiTheme="minorHAnsi" w:cstheme="minorHAnsi"/>
                <w:lang w:eastAsia="en-US"/>
              </w:rPr>
            </w:pPr>
            <w:r>
              <w:rPr>
                <w:rFonts w:asciiTheme="minorHAnsi" w:eastAsiaTheme="minorHAnsi" w:hAnsiTheme="minorHAnsi" w:cstheme="minorHAnsi"/>
                <w:lang w:eastAsia="en-US"/>
              </w:rPr>
              <w:t>Année de recensement des logements</w:t>
            </w:r>
          </w:p>
        </w:tc>
        <w:tc>
          <w:tcPr>
            <w:tcW w:w="3402" w:type="dxa"/>
            <w:gridSpan w:val="2"/>
            <w:shd w:val="clear" w:color="auto" w:fill="auto"/>
            <w:vAlign w:val="center"/>
          </w:tcPr>
          <w:p w14:paraId="47357792" w14:textId="77777777" w:rsidR="006B3BF2" w:rsidRPr="00621A4F" w:rsidRDefault="006B3BF2" w:rsidP="00AD3D49">
            <w:pPr>
              <w:pStyle w:val="NormalWeb"/>
              <w:spacing w:before="0" w:beforeAutospacing="0" w:after="0" w:afterAutospacing="0"/>
              <w:jc w:val="center"/>
              <w:rPr>
                <w:rFonts w:asciiTheme="minorHAnsi" w:eastAsiaTheme="minorHAnsi" w:hAnsiTheme="minorHAnsi" w:cstheme="minorHAnsi"/>
                <w:lang w:eastAsia="en-US"/>
              </w:rPr>
            </w:pPr>
            <w:r>
              <w:rPr>
                <w:rFonts w:asciiTheme="minorHAnsi" w:eastAsiaTheme="minorHAnsi" w:hAnsiTheme="minorHAnsi" w:cstheme="minorHAnsi"/>
                <w:lang w:eastAsia="en-US"/>
              </w:rPr>
              <w:t>insee_log_millesime</w:t>
            </w:r>
          </w:p>
        </w:tc>
        <w:tc>
          <w:tcPr>
            <w:tcW w:w="1701" w:type="dxa"/>
            <w:shd w:val="clear" w:color="auto" w:fill="auto"/>
            <w:vAlign w:val="center"/>
          </w:tcPr>
          <w:p w14:paraId="69390829" w14:textId="77777777" w:rsidR="006B3BF2" w:rsidRPr="00621A4F" w:rsidRDefault="006B3BF2" w:rsidP="00AD3D49">
            <w:pPr>
              <w:pStyle w:val="NormalWeb"/>
              <w:spacing w:before="0" w:beforeAutospacing="0" w:after="0" w:afterAutospacing="0"/>
              <w:jc w:val="center"/>
              <w:rPr>
                <w:rFonts w:asciiTheme="minorHAnsi" w:eastAsiaTheme="minorHAnsi" w:hAnsiTheme="minorHAnsi" w:cstheme="minorHAnsi"/>
                <w:lang w:eastAsia="en-US"/>
              </w:rPr>
            </w:pPr>
            <w:r>
              <w:rPr>
                <w:rFonts w:asciiTheme="minorHAnsi" w:eastAsiaTheme="minorHAnsi" w:hAnsiTheme="minorHAnsi" w:cstheme="minorHAnsi"/>
                <w:lang w:eastAsia="en-US"/>
              </w:rPr>
              <w:t>millLOG</w:t>
            </w:r>
          </w:p>
        </w:tc>
      </w:tr>
    </w:tbl>
    <w:p w14:paraId="028614BB" w14:textId="77777777" w:rsidR="006E4B75" w:rsidRDefault="006E4B75" w:rsidP="003014B0">
      <w:pPr>
        <w:pStyle w:val="NormalWeb"/>
        <w:spacing w:before="0" w:beforeAutospacing="0" w:after="0" w:afterAutospacing="0"/>
        <w:rPr>
          <w:rFonts w:asciiTheme="minorHAnsi" w:eastAsiaTheme="minorHAnsi" w:hAnsiTheme="minorHAnsi" w:cstheme="minorBidi"/>
          <w:lang w:eastAsia="en-US"/>
        </w:rPr>
      </w:pPr>
    </w:p>
    <w:p w14:paraId="6991FE3C" w14:textId="589D0532" w:rsidR="00376A82" w:rsidRDefault="00376A82" w:rsidP="00D13DF8">
      <w:pPr>
        <w:pStyle w:val="NormalWeb"/>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 xml:space="preserve">En </w:t>
      </w:r>
      <w:r w:rsidR="00AC4867">
        <w:rPr>
          <w:rFonts w:asciiTheme="minorHAnsi" w:eastAsiaTheme="minorHAnsi" w:hAnsiTheme="minorHAnsi" w:cstheme="minorBidi"/>
          <w:lang w:eastAsia="en-US"/>
        </w:rPr>
        <w:t>plus des 3 bases territoriales</w:t>
      </w:r>
      <w:r>
        <w:rPr>
          <w:rFonts w:asciiTheme="minorHAnsi" w:eastAsiaTheme="minorHAnsi" w:hAnsiTheme="minorHAnsi" w:cstheme="minorBidi"/>
          <w:lang w:eastAsia="en-US"/>
        </w:rPr>
        <w:t xml:space="preserve">, </w:t>
      </w:r>
      <w:r w:rsidR="00AC4867">
        <w:rPr>
          <w:rFonts w:asciiTheme="minorHAnsi" w:eastAsiaTheme="minorHAnsi" w:hAnsiTheme="minorHAnsi" w:cstheme="minorBidi"/>
          <w:lang w:eastAsia="en-US"/>
        </w:rPr>
        <w:t>un fichier de données complémentaires à la base communale est mis à disposition</w:t>
      </w:r>
      <w:r w:rsidR="00DE2CE2">
        <w:rPr>
          <w:rFonts w:asciiTheme="minorHAnsi" w:eastAsiaTheme="minorHAnsi" w:hAnsiTheme="minorHAnsi" w:cstheme="minorBidi"/>
          <w:lang w:eastAsia="en-US"/>
        </w:rPr>
        <w:t xml:space="preserve"> </w:t>
      </w:r>
      <w:r w:rsidR="00481BDE">
        <w:rPr>
          <w:rFonts w:asciiTheme="minorHAnsi" w:eastAsiaTheme="minorHAnsi" w:hAnsiTheme="minorHAnsi" w:cstheme="minorBidi"/>
          <w:lang w:eastAsia="en-US"/>
        </w:rPr>
        <w:t>(c</w:t>
      </w:r>
      <w:r w:rsidR="00DE2CE2">
        <w:rPr>
          <w:rFonts w:asciiTheme="minorHAnsi" w:eastAsiaTheme="minorHAnsi" w:hAnsiTheme="minorHAnsi" w:cstheme="minorBidi"/>
          <w:lang w:eastAsia="en-US"/>
        </w:rPr>
        <w:t xml:space="preserve">es données sont principalement issues de la </w:t>
      </w:r>
      <w:r w:rsidR="00DE2CE2">
        <w:rPr>
          <w:rFonts w:asciiTheme="minorHAnsi" w:eastAsiaTheme="minorHAnsi" w:hAnsiTheme="minorHAnsi" w:cstheme="minorBidi"/>
          <w:i/>
          <w:lang w:eastAsia="en-US"/>
        </w:rPr>
        <w:t xml:space="preserve">table d’appartenance géographique des communes </w:t>
      </w:r>
      <w:r w:rsidR="00DE2CE2">
        <w:rPr>
          <w:rFonts w:asciiTheme="minorHAnsi" w:eastAsiaTheme="minorHAnsi" w:hAnsiTheme="minorHAnsi" w:cstheme="minorBidi"/>
          <w:lang w:eastAsia="en-US"/>
        </w:rPr>
        <w:t>produite par l’Insee</w:t>
      </w:r>
      <w:r w:rsidR="00DE2CE2">
        <w:rPr>
          <w:rStyle w:val="Appelnotedebasdep"/>
          <w:rFonts w:asciiTheme="minorHAnsi" w:eastAsiaTheme="minorHAnsi" w:hAnsiTheme="minorHAnsi" w:cstheme="minorBidi"/>
          <w:lang w:eastAsia="en-US"/>
        </w:rPr>
        <w:footnoteReference w:id="1"/>
      </w:r>
      <w:r>
        <w:rPr>
          <w:rFonts w:asciiTheme="minorHAnsi" w:eastAsiaTheme="minorHAnsi" w:hAnsiTheme="minorHAnsi" w:cstheme="minorBidi"/>
          <w:lang w:eastAsia="en-US"/>
        </w:rPr>
        <w:t> </w:t>
      </w:r>
      <w:r w:rsidR="00481BDE">
        <w:rPr>
          <w:rFonts w:asciiTheme="minorHAnsi" w:eastAsiaTheme="minorHAnsi" w:hAnsiTheme="minorHAnsi" w:cstheme="minorBidi"/>
          <w:lang w:eastAsia="en-US"/>
        </w:rPr>
        <w:t>)</w:t>
      </w:r>
      <w:r w:rsidR="00F26C6B">
        <w:rPr>
          <w:rFonts w:asciiTheme="minorHAnsi" w:eastAsiaTheme="minorHAnsi" w:hAnsiTheme="minorHAnsi" w:cstheme="minorBidi"/>
          <w:lang w:eastAsia="en-US"/>
        </w:rPr>
        <w:t xml:space="preserve">, avec les variables suivantes </w:t>
      </w:r>
      <w:r>
        <w:rPr>
          <w:rFonts w:asciiTheme="minorHAnsi" w:eastAsiaTheme="minorHAnsi" w:hAnsiTheme="minorHAnsi" w:cstheme="minorBidi"/>
          <w:lang w:eastAsia="en-US"/>
        </w:rPr>
        <w:t>:</w:t>
      </w:r>
    </w:p>
    <w:p w14:paraId="35955FCD" w14:textId="616C4B42" w:rsidR="00376A82" w:rsidRDefault="00F26C6B" w:rsidP="00AD3D49">
      <w:pPr>
        <w:pStyle w:val="NormalWeb"/>
        <w:numPr>
          <w:ilvl w:val="0"/>
          <w:numId w:val="9"/>
        </w:numPr>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 xml:space="preserve">Le </w:t>
      </w:r>
      <w:r w:rsidR="00376A82">
        <w:rPr>
          <w:rFonts w:asciiTheme="minorHAnsi" w:eastAsiaTheme="minorHAnsi" w:hAnsiTheme="minorHAnsi" w:cstheme="minorBidi"/>
          <w:lang w:eastAsia="en-US"/>
        </w:rPr>
        <w:t>libellé de la commune</w:t>
      </w:r>
      <w:r w:rsidR="0059136F">
        <w:rPr>
          <w:rFonts w:asciiTheme="minorHAnsi" w:eastAsiaTheme="minorHAnsi" w:hAnsiTheme="minorHAnsi" w:cstheme="minorBidi"/>
          <w:lang w:eastAsia="en-US"/>
        </w:rPr>
        <w:t xml:space="preserve"> (</w:t>
      </w:r>
      <w:r w:rsidR="007C10E9">
        <w:rPr>
          <w:rFonts w:asciiTheme="minorHAnsi" w:eastAsiaTheme="minorHAnsi" w:hAnsiTheme="minorHAnsi" w:cstheme="minorBidi"/>
          <w:lang w:eastAsia="en-US"/>
        </w:rPr>
        <w:t>LIBGEO</w:t>
      </w:r>
      <w:r w:rsidR="0059136F">
        <w:rPr>
          <w:rFonts w:asciiTheme="minorHAnsi" w:eastAsiaTheme="minorHAnsi" w:hAnsiTheme="minorHAnsi" w:cstheme="minorBidi"/>
          <w:lang w:eastAsia="en-US"/>
        </w:rPr>
        <w:t>)</w:t>
      </w:r>
      <w:r>
        <w:rPr>
          <w:rFonts w:asciiTheme="minorHAnsi" w:eastAsiaTheme="minorHAnsi" w:hAnsiTheme="minorHAnsi" w:cstheme="minorBidi"/>
          <w:lang w:eastAsia="en-US"/>
        </w:rPr>
        <w:t>.</w:t>
      </w:r>
    </w:p>
    <w:p w14:paraId="1CFC47E6" w14:textId="3C5DC782" w:rsidR="00376A82" w:rsidRDefault="00F26C6B" w:rsidP="00AD3D49">
      <w:pPr>
        <w:pStyle w:val="NormalWeb"/>
        <w:numPr>
          <w:ilvl w:val="0"/>
          <w:numId w:val="9"/>
        </w:numPr>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 xml:space="preserve">Le </w:t>
      </w:r>
      <w:r w:rsidR="00376A82">
        <w:rPr>
          <w:rFonts w:asciiTheme="minorHAnsi" w:eastAsiaTheme="minorHAnsi" w:hAnsiTheme="minorHAnsi" w:cstheme="minorBidi"/>
          <w:lang w:eastAsia="en-US"/>
        </w:rPr>
        <w:t>code officiel géographique du département</w:t>
      </w:r>
      <w:r w:rsidR="0059136F">
        <w:rPr>
          <w:rFonts w:asciiTheme="minorHAnsi" w:eastAsiaTheme="minorHAnsi" w:hAnsiTheme="minorHAnsi" w:cstheme="minorBidi"/>
          <w:lang w:eastAsia="en-US"/>
        </w:rPr>
        <w:t xml:space="preserve"> (</w:t>
      </w:r>
      <w:r w:rsidR="007C10E9">
        <w:rPr>
          <w:rFonts w:asciiTheme="minorHAnsi" w:eastAsiaTheme="minorHAnsi" w:hAnsiTheme="minorHAnsi" w:cstheme="minorBidi"/>
          <w:lang w:eastAsia="en-US"/>
        </w:rPr>
        <w:t>DEP</w:t>
      </w:r>
      <w:r w:rsidR="0059136F">
        <w:rPr>
          <w:rFonts w:asciiTheme="minorHAnsi" w:eastAsiaTheme="minorHAnsi" w:hAnsiTheme="minorHAnsi" w:cstheme="minorBidi"/>
          <w:lang w:eastAsia="en-US"/>
        </w:rPr>
        <w:t>)</w:t>
      </w:r>
      <w:r>
        <w:rPr>
          <w:rFonts w:asciiTheme="minorHAnsi" w:eastAsiaTheme="minorHAnsi" w:hAnsiTheme="minorHAnsi" w:cstheme="minorBidi"/>
          <w:lang w:eastAsia="en-US"/>
        </w:rPr>
        <w:t>.</w:t>
      </w:r>
    </w:p>
    <w:p w14:paraId="0A7554C1" w14:textId="57FE98DD" w:rsidR="00376A82" w:rsidRDefault="00F26C6B" w:rsidP="00AD3D49">
      <w:pPr>
        <w:pStyle w:val="NormalWeb"/>
        <w:numPr>
          <w:ilvl w:val="0"/>
          <w:numId w:val="9"/>
        </w:numPr>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L</w:t>
      </w:r>
      <w:r w:rsidR="00376A82">
        <w:rPr>
          <w:rFonts w:asciiTheme="minorHAnsi" w:eastAsiaTheme="minorHAnsi" w:hAnsiTheme="minorHAnsi" w:cstheme="minorBidi"/>
          <w:lang w:eastAsia="en-US"/>
        </w:rPr>
        <w:t xml:space="preserve">e code officiel géographique de la région </w:t>
      </w:r>
      <w:r w:rsidR="0059136F">
        <w:rPr>
          <w:rFonts w:asciiTheme="minorHAnsi" w:eastAsiaTheme="minorHAnsi" w:hAnsiTheme="minorHAnsi" w:cstheme="minorBidi"/>
          <w:lang w:eastAsia="en-US"/>
        </w:rPr>
        <w:t>(</w:t>
      </w:r>
      <w:r w:rsidR="007C10E9">
        <w:rPr>
          <w:rFonts w:asciiTheme="minorHAnsi" w:eastAsiaTheme="minorHAnsi" w:hAnsiTheme="minorHAnsi" w:cstheme="minorBidi"/>
          <w:lang w:eastAsia="en-US"/>
        </w:rPr>
        <w:t>REG</w:t>
      </w:r>
      <w:r w:rsidR="0059136F">
        <w:rPr>
          <w:rFonts w:asciiTheme="minorHAnsi" w:eastAsiaTheme="minorHAnsi" w:hAnsiTheme="minorHAnsi" w:cstheme="minorBidi"/>
          <w:lang w:eastAsia="en-US"/>
        </w:rPr>
        <w:t>)</w:t>
      </w:r>
      <w:r>
        <w:rPr>
          <w:rFonts w:asciiTheme="minorHAnsi" w:eastAsiaTheme="minorHAnsi" w:hAnsiTheme="minorHAnsi" w:cstheme="minorBidi"/>
          <w:lang w:eastAsia="en-US"/>
        </w:rPr>
        <w:t>.</w:t>
      </w:r>
    </w:p>
    <w:p w14:paraId="6B57371D" w14:textId="59520FEE" w:rsidR="00F26C6B" w:rsidRDefault="00F26C6B" w:rsidP="00AD3D49">
      <w:pPr>
        <w:pStyle w:val="PrformatHTML"/>
        <w:numPr>
          <w:ilvl w:val="0"/>
          <w:numId w:val="9"/>
        </w:numPr>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Le </w:t>
      </w:r>
      <w:r w:rsidR="0059136F">
        <w:rPr>
          <w:rFonts w:asciiTheme="minorHAnsi" w:eastAsiaTheme="minorHAnsi" w:hAnsiTheme="minorHAnsi" w:cstheme="minorBidi"/>
          <w:sz w:val="24"/>
          <w:szCs w:val="24"/>
          <w:lang w:eastAsia="en-US"/>
        </w:rPr>
        <w:t xml:space="preserve">code </w:t>
      </w:r>
      <w:r w:rsidR="0059136F" w:rsidRPr="0059136F">
        <w:rPr>
          <w:rFonts w:asciiTheme="minorHAnsi" w:eastAsiaTheme="minorHAnsi" w:hAnsiTheme="minorHAnsi" w:cstheme="minorBidi"/>
          <w:sz w:val="24"/>
          <w:szCs w:val="24"/>
          <w:lang w:eastAsia="en-US"/>
        </w:rPr>
        <w:t>de l’établissement public de coopération intercommunale (EPCI)</w:t>
      </w:r>
      <w:r w:rsidR="009E2A29">
        <w:rPr>
          <w:rFonts w:asciiTheme="minorHAnsi" w:eastAsiaTheme="minorHAnsi" w:hAnsiTheme="minorHAnsi" w:cstheme="minorBidi"/>
          <w:sz w:val="24"/>
          <w:szCs w:val="24"/>
          <w:lang w:eastAsia="en-US"/>
        </w:rPr>
        <w:t xml:space="preserve"> </w:t>
      </w:r>
      <w:r w:rsidR="0059136F" w:rsidRPr="0059136F">
        <w:rPr>
          <w:rFonts w:asciiTheme="minorHAnsi" w:eastAsiaTheme="minorHAnsi" w:hAnsiTheme="minorHAnsi" w:cstheme="minorBidi"/>
          <w:sz w:val="24"/>
          <w:szCs w:val="24"/>
          <w:lang w:eastAsia="en-US"/>
        </w:rPr>
        <w:t>auquel appartient la commune</w:t>
      </w:r>
      <w:r w:rsidR="0080375A">
        <w:rPr>
          <w:rFonts w:asciiTheme="minorHAnsi" w:eastAsiaTheme="minorHAnsi" w:hAnsiTheme="minorHAnsi" w:cstheme="minorBidi"/>
          <w:sz w:val="24"/>
          <w:szCs w:val="24"/>
          <w:lang w:eastAsia="en-US"/>
        </w:rPr>
        <w:t xml:space="preserve"> </w:t>
      </w:r>
      <w:r w:rsidR="0080375A" w:rsidRPr="0059136F">
        <w:rPr>
          <w:rFonts w:asciiTheme="minorHAnsi" w:eastAsiaTheme="minorHAnsi" w:hAnsiTheme="minorHAnsi" w:cstheme="minorBidi"/>
          <w:sz w:val="24"/>
          <w:szCs w:val="24"/>
          <w:lang w:eastAsia="en-US"/>
        </w:rPr>
        <w:t>(</w:t>
      </w:r>
      <w:r w:rsidR="003D26D4" w:rsidRPr="00D72672">
        <w:rPr>
          <w:rFonts w:asciiTheme="minorHAnsi" w:eastAsiaTheme="minorHAnsi" w:hAnsiTheme="minorHAnsi" w:cstheme="minorBidi"/>
          <w:sz w:val="24"/>
          <w:szCs w:val="24"/>
          <w:lang w:eastAsia="en-US"/>
        </w:rPr>
        <w:t>EPCI</w:t>
      </w:r>
      <w:r w:rsidR="0080375A" w:rsidRPr="0059136F">
        <w:rPr>
          <w:rFonts w:asciiTheme="minorHAnsi" w:eastAsiaTheme="minorHAnsi" w:hAnsiTheme="minorHAnsi" w:cstheme="minorBidi"/>
          <w:sz w:val="24"/>
          <w:szCs w:val="24"/>
          <w:lang w:eastAsia="en-US"/>
        </w:rPr>
        <w:t>)</w:t>
      </w:r>
      <w:r>
        <w:rPr>
          <w:rFonts w:asciiTheme="minorHAnsi" w:eastAsiaTheme="minorHAnsi" w:hAnsiTheme="minorHAnsi" w:cstheme="minorBidi"/>
          <w:sz w:val="24"/>
          <w:szCs w:val="24"/>
          <w:lang w:eastAsia="en-US"/>
        </w:rPr>
        <w:t>.</w:t>
      </w:r>
    </w:p>
    <w:p w14:paraId="4FBCF714" w14:textId="38423F6C" w:rsidR="00F26C6B" w:rsidRDefault="00F26C6B" w:rsidP="00AD3D49">
      <w:pPr>
        <w:pStyle w:val="PrformatHTML"/>
        <w:numPr>
          <w:ilvl w:val="0"/>
          <w:numId w:val="9"/>
        </w:numPr>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L</w:t>
      </w:r>
      <w:r w:rsidR="00F039B7" w:rsidRPr="00D72672">
        <w:rPr>
          <w:rFonts w:asciiTheme="minorHAnsi" w:eastAsiaTheme="minorHAnsi" w:hAnsiTheme="minorHAnsi" w:cstheme="minorBidi"/>
          <w:sz w:val="24"/>
          <w:szCs w:val="24"/>
          <w:lang w:eastAsia="en-US"/>
        </w:rPr>
        <w:t>e code de l’établissement public territorial (EPT), découpage de certains EPCI</w:t>
      </w:r>
      <w:r>
        <w:rPr>
          <w:rFonts w:asciiTheme="minorHAnsi" w:eastAsiaTheme="minorHAnsi" w:hAnsiTheme="minorHAnsi" w:cstheme="minorBidi"/>
          <w:sz w:val="24"/>
          <w:szCs w:val="24"/>
          <w:lang w:eastAsia="en-US"/>
        </w:rPr>
        <w:t>.</w:t>
      </w:r>
    </w:p>
    <w:p w14:paraId="55793468" w14:textId="36047A6B" w:rsidR="00F26C6B" w:rsidRDefault="00F26C6B" w:rsidP="00AD3D49">
      <w:pPr>
        <w:pStyle w:val="PrformatHTML"/>
        <w:numPr>
          <w:ilvl w:val="0"/>
          <w:numId w:val="9"/>
        </w:numPr>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L</w:t>
      </w:r>
      <w:r w:rsidR="00400364">
        <w:rPr>
          <w:rFonts w:asciiTheme="minorHAnsi" w:eastAsiaTheme="minorHAnsi" w:hAnsiTheme="minorHAnsi" w:cstheme="minorBidi"/>
          <w:sz w:val="24"/>
          <w:szCs w:val="24"/>
          <w:lang w:eastAsia="en-US"/>
        </w:rPr>
        <w:t>’arrondissement</w:t>
      </w:r>
      <w:r w:rsidR="001209ED">
        <w:rPr>
          <w:rFonts w:asciiTheme="minorHAnsi" w:eastAsiaTheme="minorHAnsi" w:hAnsiTheme="minorHAnsi" w:cstheme="minorBidi"/>
          <w:sz w:val="24"/>
          <w:szCs w:val="24"/>
          <w:lang w:eastAsia="en-US"/>
        </w:rPr>
        <w:t xml:space="preserve"> (subdivision départementale dont le chef-lieu est une sous-préfecture) </w:t>
      </w:r>
      <w:r w:rsidR="00947E5F" w:rsidRPr="0059136F">
        <w:rPr>
          <w:rFonts w:asciiTheme="minorHAnsi" w:eastAsiaTheme="minorHAnsi" w:hAnsiTheme="minorHAnsi" w:cstheme="minorBidi"/>
          <w:sz w:val="24"/>
          <w:szCs w:val="24"/>
          <w:lang w:eastAsia="en-US"/>
        </w:rPr>
        <w:t>(</w:t>
      </w:r>
      <w:r w:rsidR="003930F2" w:rsidRPr="00D72672">
        <w:rPr>
          <w:rFonts w:asciiTheme="minorHAnsi" w:eastAsiaTheme="minorHAnsi" w:hAnsiTheme="minorHAnsi" w:cstheme="minorBidi"/>
          <w:sz w:val="24"/>
          <w:szCs w:val="24"/>
          <w:lang w:eastAsia="en-US"/>
        </w:rPr>
        <w:t>ARR</w:t>
      </w:r>
      <w:r w:rsidR="00947E5F" w:rsidRPr="0059136F">
        <w:rPr>
          <w:rFonts w:asciiTheme="minorHAnsi" w:eastAsiaTheme="minorHAnsi" w:hAnsiTheme="minorHAnsi" w:cstheme="minorBidi"/>
          <w:sz w:val="24"/>
          <w:szCs w:val="24"/>
          <w:lang w:eastAsia="en-US"/>
        </w:rPr>
        <w:t>)</w:t>
      </w:r>
      <w:r>
        <w:rPr>
          <w:rFonts w:asciiTheme="minorHAnsi" w:eastAsiaTheme="minorHAnsi" w:hAnsiTheme="minorHAnsi" w:cstheme="minorBidi"/>
          <w:sz w:val="24"/>
          <w:szCs w:val="24"/>
          <w:lang w:eastAsia="en-US"/>
        </w:rPr>
        <w:t>.</w:t>
      </w:r>
    </w:p>
    <w:p w14:paraId="077B2275" w14:textId="2473EADB" w:rsidR="00F26C6B" w:rsidRDefault="00F26C6B" w:rsidP="00AD3D49">
      <w:pPr>
        <w:pStyle w:val="PrformatHTML"/>
        <w:numPr>
          <w:ilvl w:val="0"/>
          <w:numId w:val="9"/>
        </w:numPr>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lastRenderedPageBreak/>
        <w:t>L</w:t>
      </w:r>
      <w:r w:rsidR="00400364">
        <w:rPr>
          <w:rFonts w:asciiTheme="minorHAnsi" w:eastAsiaTheme="minorHAnsi" w:hAnsiTheme="minorHAnsi" w:cstheme="minorBidi"/>
          <w:sz w:val="24"/>
          <w:szCs w:val="24"/>
          <w:lang w:eastAsia="en-US"/>
        </w:rPr>
        <w:t>e canton</w:t>
      </w:r>
      <w:r w:rsidR="001209ED">
        <w:rPr>
          <w:rFonts w:asciiTheme="minorHAnsi" w:eastAsiaTheme="minorHAnsi" w:hAnsiTheme="minorHAnsi" w:cstheme="minorBidi"/>
          <w:sz w:val="24"/>
          <w:szCs w:val="24"/>
          <w:lang w:eastAsia="en-US"/>
        </w:rPr>
        <w:t xml:space="preserve"> </w:t>
      </w:r>
      <w:r w:rsidR="00F039B7">
        <w:rPr>
          <w:rFonts w:asciiTheme="minorHAnsi" w:eastAsiaTheme="minorHAnsi" w:hAnsiTheme="minorHAnsi" w:cstheme="minorBidi"/>
          <w:sz w:val="24"/>
          <w:szCs w:val="24"/>
          <w:lang w:eastAsia="en-US"/>
        </w:rPr>
        <w:t xml:space="preserve">ou la ville </w:t>
      </w:r>
      <w:r w:rsidR="001209ED">
        <w:rPr>
          <w:rFonts w:asciiTheme="minorHAnsi" w:eastAsiaTheme="minorHAnsi" w:hAnsiTheme="minorHAnsi" w:cstheme="minorBidi"/>
          <w:sz w:val="24"/>
          <w:szCs w:val="24"/>
          <w:lang w:eastAsia="en-US"/>
        </w:rPr>
        <w:t>(NB : l</w:t>
      </w:r>
      <w:r w:rsidR="001209ED" w:rsidRPr="001209ED">
        <w:rPr>
          <w:rFonts w:asciiTheme="minorHAnsi" w:eastAsiaTheme="minorHAnsi" w:hAnsiTheme="minorHAnsi" w:cstheme="minorBidi"/>
          <w:sz w:val="24"/>
          <w:szCs w:val="24"/>
          <w:lang w:eastAsia="en-US"/>
        </w:rPr>
        <w:t>es cantons ne respectent pas toujours les limites communales : ils peuvent être à cheval sur plusieurs communes ou être incl</w:t>
      </w:r>
      <w:r w:rsidR="001209ED">
        <w:rPr>
          <w:rFonts w:asciiTheme="minorHAnsi" w:eastAsiaTheme="minorHAnsi" w:hAnsiTheme="minorHAnsi" w:cstheme="minorBidi"/>
          <w:sz w:val="24"/>
          <w:szCs w:val="24"/>
          <w:lang w:eastAsia="en-US"/>
        </w:rPr>
        <w:t>us strictement dans une commune)</w:t>
      </w:r>
      <w:r w:rsidR="00947E5F">
        <w:rPr>
          <w:rFonts w:asciiTheme="minorHAnsi" w:eastAsiaTheme="minorHAnsi" w:hAnsiTheme="minorHAnsi" w:cstheme="minorBidi"/>
          <w:sz w:val="24"/>
          <w:szCs w:val="24"/>
          <w:lang w:eastAsia="en-US"/>
        </w:rPr>
        <w:t xml:space="preserve"> </w:t>
      </w:r>
      <w:r w:rsidR="00947E5F" w:rsidRPr="0059136F">
        <w:rPr>
          <w:rFonts w:asciiTheme="minorHAnsi" w:eastAsiaTheme="minorHAnsi" w:hAnsiTheme="minorHAnsi" w:cstheme="minorBidi"/>
          <w:sz w:val="24"/>
          <w:szCs w:val="24"/>
          <w:lang w:eastAsia="en-US"/>
        </w:rPr>
        <w:t>(</w:t>
      </w:r>
      <w:r w:rsidR="003930F2" w:rsidRPr="00D72672">
        <w:rPr>
          <w:rFonts w:asciiTheme="minorHAnsi" w:eastAsiaTheme="minorHAnsi" w:hAnsiTheme="minorHAnsi" w:cstheme="minorBidi"/>
          <w:sz w:val="24"/>
          <w:szCs w:val="24"/>
          <w:lang w:eastAsia="en-US"/>
        </w:rPr>
        <w:t>CANOV</w:t>
      </w:r>
      <w:r w:rsidR="00947E5F" w:rsidRPr="0059136F">
        <w:rPr>
          <w:rFonts w:asciiTheme="minorHAnsi" w:eastAsiaTheme="minorHAnsi" w:hAnsiTheme="minorHAnsi" w:cstheme="minorBidi"/>
          <w:sz w:val="24"/>
          <w:szCs w:val="24"/>
          <w:lang w:eastAsia="en-US"/>
        </w:rPr>
        <w:t>)</w:t>
      </w:r>
      <w:r>
        <w:rPr>
          <w:rFonts w:asciiTheme="minorHAnsi" w:eastAsiaTheme="minorHAnsi" w:hAnsiTheme="minorHAnsi" w:cstheme="minorBidi"/>
          <w:sz w:val="24"/>
          <w:szCs w:val="24"/>
          <w:lang w:eastAsia="en-US"/>
        </w:rPr>
        <w:t>.</w:t>
      </w:r>
    </w:p>
    <w:p w14:paraId="4E4B4495" w14:textId="05E92CA2" w:rsidR="00F26C6B" w:rsidRDefault="00F26C6B" w:rsidP="00AD3D49">
      <w:pPr>
        <w:pStyle w:val="PrformatHTML"/>
        <w:numPr>
          <w:ilvl w:val="0"/>
          <w:numId w:val="9"/>
        </w:numPr>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L</w:t>
      </w:r>
      <w:r w:rsidR="003D26D4">
        <w:rPr>
          <w:rFonts w:asciiTheme="minorHAnsi" w:eastAsiaTheme="minorHAnsi" w:hAnsiTheme="minorHAnsi" w:cstheme="minorBidi"/>
          <w:sz w:val="24"/>
          <w:szCs w:val="24"/>
          <w:lang w:eastAsia="en-US"/>
        </w:rPr>
        <w:t xml:space="preserve">e code de </w:t>
      </w:r>
      <w:r w:rsidR="00400364">
        <w:rPr>
          <w:rFonts w:asciiTheme="minorHAnsi" w:eastAsiaTheme="minorHAnsi" w:hAnsiTheme="minorHAnsi" w:cstheme="minorBidi"/>
          <w:sz w:val="24"/>
          <w:szCs w:val="24"/>
          <w:lang w:eastAsia="en-US"/>
        </w:rPr>
        <w:t>la zone d’emploi</w:t>
      </w:r>
      <w:r w:rsidR="00947E5F">
        <w:rPr>
          <w:rFonts w:asciiTheme="minorHAnsi" w:eastAsiaTheme="minorHAnsi" w:hAnsiTheme="minorHAnsi" w:cstheme="minorBidi"/>
          <w:sz w:val="24"/>
          <w:szCs w:val="24"/>
          <w:lang w:eastAsia="en-US"/>
        </w:rPr>
        <w:t xml:space="preserve"> </w:t>
      </w:r>
      <w:r w:rsidR="003D26D4">
        <w:rPr>
          <w:rFonts w:asciiTheme="minorHAnsi" w:eastAsiaTheme="minorHAnsi" w:hAnsiTheme="minorHAnsi" w:cstheme="minorBidi"/>
          <w:sz w:val="24"/>
          <w:szCs w:val="24"/>
          <w:lang w:eastAsia="en-US"/>
        </w:rPr>
        <w:t xml:space="preserve">à laquelle appartient la commue </w:t>
      </w:r>
      <w:r w:rsidR="00A32AB1">
        <w:rPr>
          <w:rFonts w:asciiTheme="minorHAnsi" w:eastAsiaTheme="minorHAnsi" w:hAnsiTheme="minorHAnsi" w:cstheme="minorBidi"/>
          <w:sz w:val="24"/>
          <w:szCs w:val="24"/>
          <w:lang w:eastAsia="en-US"/>
        </w:rPr>
        <w:t>(</w:t>
      </w:r>
      <w:r w:rsidR="003D26D4">
        <w:rPr>
          <w:rFonts w:asciiTheme="minorHAnsi" w:eastAsiaTheme="minorHAnsi" w:hAnsiTheme="minorHAnsi" w:cstheme="minorBidi"/>
          <w:sz w:val="24"/>
          <w:szCs w:val="24"/>
          <w:lang w:eastAsia="en-US"/>
        </w:rPr>
        <w:t>ZE2020</w:t>
      </w:r>
      <w:r w:rsidR="00947E5F" w:rsidRPr="0059136F">
        <w:rPr>
          <w:rFonts w:asciiTheme="minorHAnsi" w:eastAsiaTheme="minorHAnsi" w:hAnsiTheme="minorHAnsi" w:cstheme="minorBidi"/>
          <w:sz w:val="24"/>
          <w:szCs w:val="24"/>
          <w:lang w:eastAsia="en-US"/>
        </w:rPr>
        <w:t>)</w:t>
      </w:r>
      <w:r>
        <w:rPr>
          <w:rFonts w:asciiTheme="minorHAnsi" w:eastAsiaTheme="minorHAnsi" w:hAnsiTheme="minorHAnsi" w:cstheme="minorBidi"/>
          <w:sz w:val="24"/>
          <w:szCs w:val="24"/>
          <w:lang w:eastAsia="en-US"/>
        </w:rPr>
        <w:t>.</w:t>
      </w:r>
    </w:p>
    <w:p w14:paraId="2AA58FA3" w14:textId="5DC4D478" w:rsidR="00F26C6B" w:rsidRDefault="00F26C6B" w:rsidP="00AD3D49">
      <w:pPr>
        <w:pStyle w:val="PrformatHTML"/>
        <w:numPr>
          <w:ilvl w:val="0"/>
          <w:numId w:val="9"/>
        </w:numPr>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L</w:t>
      </w:r>
      <w:r w:rsidR="0083401B">
        <w:rPr>
          <w:rFonts w:asciiTheme="minorHAnsi" w:eastAsiaTheme="minorHAnsi" w:hAnsiTheme="minorHAnsi" w:cstheme="minorBidi"/>
          <w:sz w:val="24"/>
          <w:szCs w:val="24"/>
          <w:lang w:eastAsia="en-US"/>
        </w:rPr>
        <w:t>e code de l’unité urbaine auquel appartient la commune</w:t>
      </w:r>
      <w:r w:rsidR="0080375A">
        <w:rPr>
          <w:rFonts w:asciiTheme="minorHAnsi" w:eastAsiaTheme="minorHAnsi" w:hAnsiTheme="minorHAnsi" w:cstheme="minorBidi"/>
          <w:sz w:val="24"/>
          <w:szCs w:val="24"/>
          <w:lang w:eastAsia="en-US"/>
        </w:rPr>
        <w:t xml:space="preserve"> </w:t>
      </w:r>
      <w:r w:rsidR="0080375A" w:rsidRPr="0059136F">
        <w:rPr>
          <w:rFonts w:asciiTheme="minorHAnsi" w:eastAsiaTheme="minorHAnsi" w:hAnsiTheme="minorHAnsi" w:cstheme="minorBidi"/>
          <w:sz w:val="24"/>
          <w:szCs w:val="24"/>
          <w:lang w:eastAsia="en-US"/>
        </w:rPr>
        <w:t>(</w:t>
      </w:r>
      <w:r w:rsidR="003D26D4">
        <w:rPr>
          <w:rFonts w:asciiTheme="minorHAnsi" w:eastAsiaTheme="minorHAnsi" w:hAnsiTheme="minorHAnsi" w:cstheme="minorBidi"/>
          <w:sz w:val="24"/>
          <w:szCs w:val="24"/>
          <w:lang w:eastAsia="en-US"/>
        </w:rPr>
        <w:t>UU2020</w:t>
      </w:r>
      <w:r w:rsidR="00024EFE" w:rsidRPr="0059136F">
        <w:rPr>
          <w:rFonts w:asciiTheme="minorHAnsi" w:eastAsiaTheme="minorHAnsi" w:hAnsiTheme="minorHAnsi" w:cstheme="minorBidi"/>
          <w:sz w:val="24"/>
          <w:szCs w:val="24"/>
          <w:lang w:eastAsia="en-US"/>
        </w:rPr>
        <w:t>)</w:t>
      </w:r>
      <w:r w:rsidR="00024EFE">
        <w:rPr>
          <w:rFonts w:asciiTheme="minorHAnsi" w:eastAsiaTheme="minorHAnsi" w:hAnsiTheme="minorHAnsi" w:cstheme="minorBidi"/>
          <w:sz w:val="24"/>
          <w:szCs w:val="24"/>
          <w:lang w:eastAsia="en-US"/>
        </w:rPr>
        <w:t>. La</w:t>
      </w:r>
      <w:r w:rsidR="0083401B">
        <w:rPr>
          <w:rFonts w:asciiTheme="minorHAnsi" w:eastAsiaTheme="minorHAnsi" w:hAnsiTheme="minorHAnsi" w:cstheme="minorBidi"/>
          <w:sz w:val="24"/>
          <w:szCs w:val="24"/>
          <w:lang w:eastAsia="en-US"/>
        </w:rPr>
        <w:t xml:space="preserve"> tranche d</w:t>
      </w:r>
      <w:r w:rsidR="0082745C">
        <w:rPr>
          <w:rFonts w:asciiTheme="minorHAnsi" w:eastAsiaTheme="minorHAnsi" w:hAnsiTheme="minorHAnsi" w:cstheme="minorBidi"/>
          <w:sz w:val="24"/>
          <w:szCs w:val="24"/>
          <w:lang w:eastAsia="en-US"/>
        </w:rPr>
        <w:t>’</w:t>
      </w:r>
      <w:r w:rsidR="0083401B">
        <w:rPr>
          <w:rFonts w:asciiTheme="minorHAnsi" w:eastAsiaTheme="minorHAnsi" w:hAnsiTheme="minorHAnsi" w:cstheme="minorBidi"/>
          <w:sz w:val="24"/>
          <w:szCs w:val="24"/>
          <w:lang w:eastAsia="en-US"/>
        </w:rPr>
        <w:t>unité urbaine</w:t>
      </w:r>
      <w:r w:rsidR="002069B6">
        <w:rPr>
          <w:rFonts w:asciiTheme="minorHAnsi" w:eastAsiaTheme="minorHAnsi" w:hAnsiTheme="minorHAnsi" w:cstheme="minorBidi"/>
          <w:sz w:val="24"/>
          <w:szCs w:val="24"/>
          <w:lang w:eastAsia="en-US"/>
        </w:rPr>
        <w:t> :</w:t>
      </w:r>
      <w:r w:rsidR="0083401B">
        <w:rPr>
          <w:rFonts w:asciiTheme="minorHAnsi" w:eastAsiaTheme="minorHAnsi" w:hAnsiTheme="minorHAnsi" w:cstheme="minorBidi"/>
          <w:sz w:val="24"/>
          <w:szCs w:val="24"/>
          <w:lang w:eastAsia="en-US"/>
        </w:rPr>
        <w:t xml:space="preserve"> </w:t>
      </w:r>
      <w:r w:rsidR="002069B6">
        <w:rPr>
          <w:rFonts w:asciiTheme="minorHAnsi" w:eastAsiaTheme="minorHAnsi" w:hAnsiTheme="minorHAnsi" w:cstheme="minorBidi"/>
          <w:sz w:val="24"/>
          <w:szCs w:val="24"/>
          <w:lang w:eastAsia="en-US"/>
        </w:rPr>
        <w:t>classification des unités urbaines en fonction de leur population</w:t>
      </w:r>
      <w:r w:rsidR="00880790">
        <w:rPr>
          <w:rFonts w:asciiTheme="minorHAnsi" w:eastAsiaTheme="minorHAnsi" w:hAnsiTheme="minorHAnsi" w:cstheme="minorBidi"/>
          <w:sz w:val="24"/>
          <w:szCs w:val="24"/>
          <w:lang w:eastAsia="en-US"/>
        </w:rPr>
        <w:t xml:space="preserve"> </w:t>
      </w:r>
      <w:r w:rsidR="002069B6">
        <w:rPr>
          <w:rFonts w:asciiTheme="minorHAnsi" w:eastAsiaTheme="minorHAnsi" w:hAnsiTheme="minorHAnsi" w:cstheme="minorBidi"/>
          <w:sz w:val="24"/>
          <w:szCs w:val="24"/>
          <w:lang w:eastAsia="en-US"/>
        </w:rPr>
        <w:t xml:space="preserve">en </w:t>
      </w:r>
      <w:r w:rsidR="001209ED">
        <w:rPr>
          <w:rFonts w:asciiTheme="minorHAnsi" w:eastAsiaTheme="minorHAnsi" w:hAnsiTheme="minorHAnsi" w:cstheme="minorBidi"/>
          <w:sz w:val="24"/>
          <w:szCs w:val="24"/>
          <w:lang w:eastAsia="en-US"/>
        </w:rPr>
        <w:t>2017</w:t>
      </w:r>
      <w:r w:rsidR="0080375A">
        <w:rPr>
          <w:rFonts w:asciiTheme="minorHAnsi" w:eastAsiaTheme="minorHAnsi" w:hAnsiTheme="minorHAnsi" w:cstheme="minorBidi"/>
          <w:sz w:val="24"/>
          <w:szCs w:val="24"/>
          <w:lang w:eastAsia="en-US"/>
        </w:rPr>
        <w:t xml:space="preserve"> </w:t>
      </w:r>
      <w:r w:rsidR="0080375A" w:rsidRPr="0059136F">
        <w:rPr>
          <w:rFonts w:asciiTheme="minorHAnsi" w:eastAsiaTheme="minorHAnsi" w:hAnsiTheme="minorHAnsi" w:cstheme="minorBidi"/>
          <w:sz w:val="24"/>
          <w:szCs w:val="24"/>
          <w:lang w:eastAsia="en-US"/>
        </w:rPr>
        <w:t>(</w:t>
      </w:r>
      <w:r w:rsidR="002069B6" w:rsidRPr="00CA391D">
        <w:rPr>
          <w:rFonts w:asciiTheme="minorHAnsi" w:eastAsiaTheme="minorHAnsi" w:hAnsiTheme="minorHAnsi" w:cstheme="minorBidi"/>
          <w:sz w:val="24"/>
          <w:szCs w:val="24"/>
          <w:lang w:eastAsia="en-US"/>
        </w:rPr>
        <w:t>TUU2017</w:t>
      </w:r>
      <w:r w:rsidR="0080375A" w:rsidRPr="0059136F">
        <w:rPr>
          <w:rFonts w:asciiTheme="minorHAnsi" w:eastAsiaTheme="minorHAnsi" w:hAnsiTheme="minorHAnsi" w:cstheme="minorBidi"/>
          <w:sz w:val="24"/>
          <w:szCs w:val="24"/>
          <w:lang w:eastAsia="en-US"/>
        </w:rPr>
        <w:t>)</w:t>
      </w:r>
      <w:r>
        <w:rPr>
          <w:rFonts w:asciiTheme="minorHAnsi" w:eastAsiaTheme="minorHAnsi" w:hAnsiTheme="minorHAnsi" w:cstheme="minorBidi"/>
          <w:sz w:val="24"/>
          <w:szCs w:val="24"/>
          <w:lang w:eastAsia="en-US"/>
        </w:rPr>
        <w:t>.</w:t>
      </w:r>
    </w:p>
    <w:p w14:paraId="0DE3A924" w14:textId="46F8AA9C" w:rsidR="00F26C6B" w:rsidRDefault="00F26C6B" w:rsidP="00AD3D49">
      <w:pPr>
        <w:pStyle w:val="PrformatHTML"/>
        <w:numPr>
          <w:ilvl w:val="0"/>
          <w:numId w:val="9"/>
        </w:numPr>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L</w:t>
      </w:r>
      <w:r w:rsidR="0083401B">
        <w:rPr>
          <w:rFonts w:asciiTheme="minorHAnsi" w:eastAsiaTheme="minorHAnsi" w:hAnsiTheme="minorHAnsi" w:cstheme="minorBidi"/>
          <w:sz w:val="24"/>
          <w:szCs w:val="24"/>
          <w:lang w:eastAsia="en-US"/>
        </w:rPr>
        <w:t>a tranche détaillée d’unité urbaine (</w:t>
      </w:r>
      <w:r w:rsidR="002069B6">
        <w:rPr>
          <w:rFonts w:asciiTheme="minorHAnsi" w:eastAsiaTheme="minorHAnsi" w:hAnsiTheme="minorHAnsi" w:cstheme="minorBidi"/>
          <w:sz w:val="24"/>
          <w:szCs w:val="24"/>
          <w:lang w:eastAsia="en-US"/>
        </w:rPr>
        <w:t xml:space="preserve">découpage plus fin </w:t>
      </w:r>
      <w:r w:rsidR="0083401B">
        <w:rPr>
          <w:rFonts w:asciiTheme="minorHAnsi" w:eastAsiaTheme="minorHAnsi" w:hAnsiTheme="minorHAnsi" w:cstheme="minorBidi"/>
          <w:sz w:val="24"/>
          <w:szCs w:val="24"/>
          <w:lang w:eastAsia="en-US"/>
        </w:rPr>
        <w:t xml:space="preserve">que la tranche d’unité urbaine) </w:t>
      </w:r>
      <w:r w:rsidR="0083401B" w:rsidRPr="0083401B">
        <w:rPr>
          <w:rFonts w:asciiTheme="minorHAnsi" w:eastAsiaTheme="minorHAnsi" w:hAnsiTheme="minorHAnsi" w:cstheme="minorBidi"/>
          <w:sz w:val="24"/>
          <w:szCs w:val="24"/>
          <w:lang w:eastAsia="en-US"/>
        </w:rPr>
        <w:t xml:space="preserve">à laquelle appartient la commune </w:t>
      </w:r>
      <w:r w:rsidR="0080375A" w:rsidRPr="0059136F">
        <w:rPr>
          <w:rFonts w:asciiTheme="minorHAnsi" w:eastAsiaTheme="minorHAnsi" w:hAnsiTheme="minorHAnsi" w:cstheme="minorBidi"/>
          <w:sz w:val="24"/>
          <w:szCs w:val="24"/>
          <w:lang w:eastAsia="en-US"/>
        </w:rPr>
        <w:t>(</w:t>
      </w:r>
      <w:r w:rsidR="002069B6">
        <w:rPr>
          <w:rFonts w:asciiTheme="minorHAnsi" w:eastAsiaTheme="minorHAnsi" w:hAnsiTheme="minorHAnsi" w:cstheme="minorBidi"/>
          <w:sz w:val="24"/>
          <w:szCs w:val="24"/>
          <w:lang w:eastAsia="en-US"/>
        </w:rPr>
        <w:t>TDUU2017</w:t>
      </w:r>
      <w:r w:rsidR="0080375A" w:rsidRPr="0059136F">
        <w:rPr>
          <w:rFonts w:asciiTheme="minorHAnsi" w:eastAsiaTheme="minorHAnsi" w:hAnsiTheme="minorHAnsi" w:cstheme="minorBidi"/>
          <w:sz w:val="24"/>
          <w:szCs w:val="24"/>
          <w:lang w:eastAsia="en-US"/>
        </w:rPr>
        <w:t>)</w:t>
      </w:r>
      <w:r>
        <w:rPr>
          <w:rFonts w:asciiTheme="minorHAnsi" w:eastAsiaTheme="minorHAnsi" w:hAnsiTheme="minorHAnsi" w:cstheme="minorBidi"/>
          <w:sz w:val="24"/>
          <w:szCs w:val="24"/>
          <w:lang w:eastAsia="en-US"/>
        </w:rPr>
        <w:t>.</w:t>
      </w:r>
    </w:p>
    <w:p w14:paraId="6484346D" w14:textId="79F31E4C" w:rsidR="00F26C6B" w:rsidRDefault="00F26C6B" w:rsidP="00AD3D49">
      <w:pPr>
        <w:pStyle w:val="PrformatHTML"/>
        <w:numPr>
          <w:ilvl w:val="0"/>
          <w:numId w:val="9"/>
        </w:numPr>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L</w:t>
      </w:r>
      <w:r w:rsidR="00AB5232" w:rsidRPr="00D72672">
        <w:rPr>
          <w:rFonts w:asciiTheme="minorHAnsi" w:eastAsiaTheme="minorHAnsi" w:hAnsiTheme="minorHAnsi" w:cstheme="minorBidi"/>
          <w:sz w:val="24"/>
          <w:szCs w:val="24"/>
          <w:lang w:eastAsia="en-US"/>
        </w:rPr>
        <w:t>e type de la commune (hors unité urbaine, unité urbaine) au sein des unités urbaines (TYPE_COMMUNE_UU)</w:t>
      </w:r>
      <w:r>
        <w:rPr>
          <w:rFonts w:asciiTheme="minorHAnsi" w:eastAsiaTheme="minorHAnsi" w:hAnsiTheme="minorHAnsi" w:cstheme="minorBidi"/>
          <w:sz w:val="24"/>
          <w:szCs w:val="24"/>
          <w:lang w:eastAsia="en-US"/>
        </w:rPr>
        <w:t>.</w:t>
      </w:r>
    </w:p>
    <w:p w14:paraId="74AADE86" w14:textId="4A8B9AD6" w:rsidR="00F26C6B" w:rsidRDefault="00F26C6B" w:rsidP="00AD3D49">
      <w:pPr>
        <w:pStyle w:val="PrformatHTML"/>
        <w:numPr>
          <w:ilvl w:val="0"/>
          <w:numId w:val="9"/>
        </w:numPr>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L</w:t>
      </w:r>
      <w:r w:rsidR="00880790" w:rsidRPr="00D72672">
        <w:rPr>
          <w:rFonts w:asciiTheme="minorHAnsi" w:eastAsiaTheme="minorHAnsi" w:hAnsiTheme="minorHAnsi" w:cstheme="minorBidi"/>
          <w:sz w:val="24"/>
          <w:szCs w:val="24"/>
          <w:lang w:eastAsia="en-US"/>
        </w:rPr>
        <w:t xml:space="preserve">e statut de la commune (hors unité urbaine, ville </w:t>
      </w:r>
      <w:r w:rsidR="00024EFE" w:rsidRPr="00D72672">
        <w:rPr>
          <w:rFonts w:asciiTheme="minorHAnsi" w:eastAsiaTheme="minorHAnsi" w:hAnsiTheme="minorHAnsi" w:cstheme="minorBidi"/>
          <w:sz w:val="24"/>
          <w:szCs w:val="24"/>
          <w:lang w:eastAsia="en-US"/>
        </w:rPr>
        <w:t>centre, …</w:t>
      </w:r>
      <w:r w:rsidR="00880790" w:rsidRPr="00D72672">
        <w:rPr>
          <w:rFonts w:asciiTheme="minorHAnsi" w:eastAsiaTheme="minorHAnsi" w:hAnsiTheme="minorHAnsi" w:cstheme="minorBidi"/>
          <w:sz w:val="24"/>
          <w:szCs w:val="24"/>
          <w:lang w:eastAsia="en-US"/>
        </w:rPr>
        <w:t xml:space="preserve">) </w:t>
      </w:r>
      <w:r w:rsidR="00F5079A" w:rsidRPr="00D72672">
        <w:rPr>
          <w:rFonts w:asciiTheme="minorHAnsi" w:eastAsiaTheme="minorHAnsi" w:hAnsiTheme="minorHAnsi" w:cstheme="minorBidi"/>
          <w:sz w:val="24"/>
          <w:szCs w:val="24"/>
          <w:lang w:eastAsia="en-US"/>
        </w:rPr>
        <w:t>au sein des unités urbaines</w:t>
      </w:r>
      <w:r w:rsidR="0080375A" w:rsidRPr="00D72672">
        <w:rPr>
          <w:rFonts w:asciiTheme="minorHAnsi" w:eastAsiaTheme="minorHAnsi" w:hAnsiTheme="minorHAnsi" w:cstheme="minorBidi"/>
          <w:sz w:val="24"/>
          <w:szCs w:val="24"/>
          <w:lang w:eastAsia="en-US"/>
        </w:rPr>
        <w:t xml:space="preserve"> (</w:t>
      </w:r>
      <w:r w:rsidR="00AB5232" w:rsidRPr="00D72672">
        <w:rPr>
          <w:rFonts w:asciiTheme="minorHAnsi" w:eastAsiaTheme="minorHAnsi" w:hAnsiTheme="minorHAnsi" w:cstheme="minorBidi"/>
          <w:sz w:val="24"/>
          <w:szCs w:val="24"/>
          <w:lang w:eastAsia="en-US"/>
        </w:rPr>
        <w:t>STATUT</w:t>
      </w:r>
      <w:r w:rsidR="003930F2" w:rsidRPr="00D72672">
        <w:rPr>
          <w:rFonts w:asciiTheme="minorHAnsi" w:eastAsiaTheme="minorHAnsi" w:hAnsiTheme="minorHAnsi" w:cstheme="minorBidi"/>
          <w:sz w:val="24"/>
          <w:szCs w:val="24"/>
          <w:lang w:eastAsia="en-US"/>
        </w:rPr>
        <w:t>_</w:t>
      </w:r>
      <w:r w:rsidR="00AB5232" w:rsidRPr="00D72672">
        <w:rPr>
          <w:rFonts w:asciiTheme="minorHAnsi" w:eastAsiaTheme="minorHAnsi" w:hAnsiTheme="minorHAnsi" w:cstheme="minorBidi"/>
          <w:sz w:val="24"/>
          <w:szCs w:val="24"/>
          <w:lang w:eastAsia="en-US"/>
        </w:rPr>
        <w:t>COM_</w:t>
      </w:r>
      <w:r w:rsidR="003930F2" w:rsidRPr="00D72672">
        <w:rPr>
          <w:rFonts w:asciiTheme="minorHAnsi" w:eastAsiaTheme="minorHAnsi" w:hAnsiTheme="minorHAnsi" w:cstheme="minorBidi"/>
          <w:sz w:val="24"/>
          <w:szCs w:val="24"/>
          <w:lang w:eastAsia="en-US"/>
        </w:rPr>
        <w:t>UU</w:t>
      </w:r>
      <w:r w:rsidR="0080375A" w:rsidRPr="00D72672">
        <w:rPr>
          <w:rFonts w:asciiTheme="minorHAnsi" w:eastAsiaTheme="minorHAnsi" w:hAnsiTheme="minorHAnsi" w:cstheme="minorBidi"/>
          <w:sz w:val="24"/>
          <w:szCs w:val="24"/>
          <w:lang w:eastAsia="en-US"/>
        </w:rPr>
        <w:t>)</w:t>
      </w:r>
      <w:r>
        <w:rPr>
          <w:rFonts w:asciiTheme="minorHAnsi" w:eastAsiaTheme="minorHAnsi" w:hAnsiTheme="minorHAnsi" w:cstheme="minorBidi"/>
          <w:sz w:val="24"/>
          <w:szCs w:val="24"/>
          <w:lang w:eastAsia="en-US"/>
        </w:rPr>
        <w:t>.</w:t>
      </w:r>
    </w:p>
    <w:p w14:paraId="0BA45E8E" w14:textId="580AA57A" w:rsidR="00F26C6B" w:rsidRDefault="00F26C6B" w:rsidP="00AD3D49">
      <w:pPr>
        <w:pStyle w:val="PrformatHTML"/>
        <w:numPr>
          <w:ilvl w:val="0"/>
          <w:numId w:val="9"/>
        </w:numPr>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L</w:t>
      </w:r>
      <w:r w:rsidR="00F039B7">
        <w:rPr>
          <w:rFonts w:asciiTheme="minorHAnsi" w:eastAsiaTheme="minorHAnsi" w:hAnsiTheme="minorHAnsi" w:cstheme="minorBidi"/>
          <w:sz w:val="24"/>
          <w:szCs w:val="24"/>
          <w:lang w:eastAsia="en-US"/>
        </w:rPr>
        <w:t>e t</w:t>
      </w:r>
      <w:r w:rsidR="00F039B7" w:rsidRPr="00F039B7">
        <w:rPr>
          <w:rFonts w:asciiTheme="minorHAnsi" w:eastAsiaTheme="minorHAnsi" w:hAnsiTheme="minorHAnsi" w:cstheme="minorBidi"/>
          <w:sz w:val="24"/>
          <w:szCs w:val="24"/>
          <w:lang w:eastAsia="en-US"/>
        </w:rPr>
        <w:t>ype d'unité urbaine</w:t>
      </w:r>
      <w:r w:rsidR="00F039B7">
        <w:rPr>
          <w:rFonts w:asciiTheme="minorHAnsi" w:eastAsiaTheme="minorHAnsi" w:hAnsiTheme="minorHAnsi" w:cstheme="minorBidi"/>
          <w:sz w:val="24"/>
          <w:szCs w:val="24"/>
          <w:lang w:eastAsia="en-US"/>
        </w:rPr>
        <w:t xml:space="preserve"> </w:t>
      </w:r>
      <w:r w:rsidR="008319DA">
        <w:rPr>
          <w:rFonts w:asciiTheme="minorHAnsi" w:eastAsiaTheme="minorHAnsi" w:hAnsiTheme="minorHAnsi" w:cstheme="minorBidi"/>
          <w:sz w:val="24"/>
          <w:szCs w:val="24"/>
          <w:lang w:eastAsia="en-US"/>
        </w:rPr>
        <w:t>(v</w:t>
      </w:r>
      <w:r w:rsidR="008319DA" w:rsidRPr="00F039B7">
        <w:rPr>
          <w:rFonts w:asciiTheme="minorHAnsi" w:eastAsiaTheme="minorHAnsi" w:hAnsiTheme="minorHAnsi" w:cstheme="minorBidi"/>
          <w:sz w:val="24"/>
          <w:szCs w:val="24"/>
          <w:lang w:eastAsia="en-US"/>
        </w:rPr>
        <w:t>ille isolée ou unité urbaine monocommunale</w:t>
      </w:r>
      <w:r w:rsidR="008319DA">
        <w:rPr>
          <w:rFonts w:asciiTheme="minorHAnsi" w:eastAsiaTheme="minorHAnsi" w:hAnsiTheme="minorHAnsi" w:cstheme="minorBidi"/>
          <w:sz w:val="24"/>
          <w:szCs w:val="24"/>
          <w:lang w:eastAsia="en-US"/>
        </w:rPr>
        <w:t>, a</w:t>
      </w:r>
      <w:r w:rsidR="008319DA" w:rsidRPr="00F039B7">
        <w:rPr>
          <w:rFonts w:asciiTheme="minorHAnsi" w:eastAsiaTheme="minorHAnsi" w:hAnsiTheme="minorHAnsi" w:cstheme="minorBidi"/>
          <w:sz w:val="24"/>
          <w:szCs w:val="24"/>
          <w:lang w:eastAsia="en-US"/>
        </w:rPr>
        <w:t>gglomération intra-départementale</w:t>
      </w:r>
      <w:r w:rsidR="008319DA">
        <w:rPr>
          <w:rFonts w:asciiTheme="minorHAnsi" w:eastAsiaTheme="minorHAnsi" w:hAnsiTheme="minorHAnsi" w:cstheme="minorBidi"/>
          <w:sz w:val="24"/>
          <w:szCs w:val="24"/>
          <w:lang w:eastAsia="en-US"/>
        </w:rPr>
        <w:t xml:space="preserve">…) à laquelle appartient la commune </w:t>
      </w:r>
      <w:r w:rsidR="00F039B7">
        <w:rPr>
          <w:rFonts w:asciiTheme="minorHAnsi" w:eastAsiaTheme="minorHAnsi" w:hAnsiTheme="minorHAnsi" w:cstheme="minorBidi"/>
          <w:sz w:val="24"/>
          <w:szCs w:val="24"/>
          <w:lang w:eastAsia="en-US"/>
        </w:rPr>
        <w:t>(TYPE_UU2020)</w:t>
      </w:r>
      <w:r>
        <w:rPr>
          <w:rFonts w:asciiTheme="minorHAnsi" w:eastAsiaTheme="minorHAnsi" w:hAnsiTheme="minorHAnsi" w:cstheme="minorBidi"/>
          <w:sz w:val="24"/>
          <w:szCs w:val="24"/>
          <w:lang w:eastAsia="en-US"/>
        </w:rPr>
        <w:t>.</w:t>
      </w:r>
    </w:p>
    <w:p w14:paraId="70B19ED8" w14:textId="5729093B" w:rsidR="00F26C6B" w:rsidRDefault="00F26C6B" w:rsidP="00AD3D49">
      <w:pPr>
        <w:pStyle w:val="PrformatHTML"/>
        <w:numPr>
          <w:ilvl w:val="0"/>
          <w:numId w:val="9"/>
        </w:numPr>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L</w:t>
      </w:r>
      <w:r w:rsidR="00880790">
        <w:rPr>
          <w:rFonts w:asciiTheme="minorHAnsi" w:eastAsiaTheme="minorHAnsi" w:hAnsiTheme="minorHAnsi" w:cstheme="minorBidi"/>
          <w:sz w:val="24"/>
          <w:szCs w:val="24"/>
          <w:lang w:eastAsia="en-US"/>
        </w:rPr>
        <w:t xml:space="preserve">e code d’aire d’attractivité des villes </w:t>
      </w:r>
      <w:r w:rsidR="00AB5232">
        <w:rPr>
          <w:rFonts w:asciiTheme="minorHAnsi" w:eastAsiaTheme="minorHAnsi" w:hAnsiTheme="minorHAnsi" w:cstheme="minorBidi"/>
          <w:sz w:val="24"/>
          <w:szCs w:val="24"/>
          <w:lang w:eastAsia="en-US"/>
        </w:rPr>
        <w:t>à laquelle</w:t>
      </w:r>
      <w:r w:rsidR="00880790">
        <w:rPr>
          <w:rFonts w:asciiTheme="minorHAnsi" w:eastAsiaTheme="minorHAnsi" w:hAnsiTheme="minorHAnsi" w:cstheme="minorBidi"/>
          <w:sz w:val="24"/>
          <w:szCs w:val="24"/>
          <w:lang w:eastAsia="en-US"/>
        </w:rPr>
        <w:t xml:space="preserve"> appartient la commune</w:t>
      </w:r>
      <w:r w:rsidR="0080375A">
        <w:rPr>
          <w:rFonts w:asciiTheme="minorHAnsi" w:eastAsiaTheme="minorHAnsi" w:hAnsiTheme="minorHAnsi" w:cstheme="minorBidi"/>
          <w:sz w:val="24"/>
          <w:szCs w:val="24"/>
          <w:lang w:eastAsia="en-US"/>
        </w:rPr>
        <w:t xml:space="preserve"> </w:t>
      </w:r>
      <w:r w:rsidR="0080375A" w:rsidRPr="0059136F">
        <w:rPr>
          <w:rFonts w:asciiTheme="minorHAnsi" w:eastAsiaTheme="minorHAnsi" w:hAnsiTheme="minorHAnsi" w:cstheme="minorBidi"/>
          <w:sz w:val="24"/>
          <w:szCs w:val="24"/>
          <w:lang w:eastAsia="en-US"/>
        </w:rPr>
        <w:t>(</w:t>
      </w:r>
      <w:r w:rsidR="003D26D4">
        <w:rPr>
          <w:rFonts w:asciiTheme="minorHAnsi" w:eastAsiaTheme="minorHAnsi" w:hAnsiTheme="minorHAnsi" w:cstheme="minorBidi"/>
          <w:sz w:val="24"/>
          <w:szCs w:val="24"/>
          <w:lang w:eastAsia="en-US"/>
        </w:rPr>
        <w:t>AAV2020</w:t>
      </w:r>
      <w:r w:rsidR="0080375A" w:rsidRPr="0059136F">
        <w:rPr>
          <w:rFonts w:asciiTheme="minorHAnsi" w:eastAsiaTheme="minorHAnsi" w:hAnsiTheme="minorHAnsi" w:cstheme="minorBidi"/>
          <w:sz w:val="24"/>
          <w:szCs w:val="24"/>
          <w:lang w:eastAsia="en-US"/>
        </w:rPr>
        <w:t>)</w:t>
      </w:r>
      <w:r>
        <w:rPr>
          <w:rFonts w:asciiTheme="minorHAnsi" w:eastAsiaTheme="minorHAnsi" w:hAnsiTheme="minorHAnsi" w:cstheme="minorBidi"/>
          <w:sz w:val="24"/>
          <w:szCs w:val="24"/>
          <w:lang w:eastAsia="en-US"/>
        </w:rPr>
        <w:t>.</w:t>
      </w:r>
    </w:p>
    <w:p w14:paraId="7AE18A75" w14:textId="1651C792" w:rsidR="00F26C6B" w:rsidRDefault="00F26C6B" w:rsidP="00AD3D49">
      <w:pPr>
        <w:pStyle w:val="PrformatHTML"/>
        <w:numPr>
          <w:ilvl w:val="0"/>
          <w:numId w:val="9"/>
        </w:numPr>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L</w:t>
      </w:r>
      <w:r w:rsidR="008319DA">
        <w:rPr>
          <w:rFonts w:asciiTheme="minorHAnsi" w:eastAsiaTheme="minorHAnsi" w:hAnsiTheme="minorHAnsi" w:cstheme="minorBidi"/>
          <w:sz w:val="24"/>
          <w:szCs w:val="24"/>
          <w:lang w:eastAsia="en-US"/>
        </w:rPr>
        <w:t>a c</w:t>
      </w:r>
      <w:r w:rsidR="008319DA" w:rsidRPr="002069B6">
        <w:rPr>
          <w:rFonts w:asciiTheme="minorHAnsi" w:eastAsiaTheme="minorHAnsi" w:hAnsiTheme="minorHAnsi" w:cstheme="minorBidi"/>
          <w:sz w:val="24"/>
          <w:szCs w:val="24"/>
          <w:lang w:eastAsia="en-US"/>
        </w:rPr>
        <w:t>atégorie de la commune dans le zonage en aire d'attraction des villes 2020</w:t>
      </w:r>
      <w:r w:rsidR="008319DA" w:rsidRPr="002069B6" w:rsidDel="002069B6">
        <w:rPr>
          <w:rFonts w:asciiTheme="minorHAnsi" w:eastAsiaTheme="minorHAnsi" w:hAnsiTheme="minorHAnsi" w:cstheme="minorBidi"/>
          <w:sz w:val="24"/>
          <w:szCs w:val="24"/>
          <w:lang w:eastAsia="en-US"/>
        </w:rPr>
        <w:t xml:space="preserve"> </w:t>
      </w:r>
      <w:r w:rsidR="008319DA" w:rsidRPr="00880790">
        <w:rPr>
          <w:rFonts w:asciiTheme="minorHAnsi" w:eastAsiaTheme="minorHAnsi" w:hAnsiTheme="minorHAnsi" w:cstheme="minorBidi"/>
          <w:sz w:val="24"/>
          <w:szCs w:val="24"/>
          <w:lang w:eastAsia="en-US"/>
        </w:rPr>
        <w:t>villes</w:t>
      </w:r>
      <w:r w:rsidR="008319DA">
        <w:rPr>
          <w:rFonts w:asciiTheme="minorHAnsi" w:eastAsiaTheme="minorHAnsi" w:hAnsiTheme="minorHAnsi" w:cstheme="minorBidi"/>
          <w:sz w:val="24"/>
          <w:szCs w:val="24"/>
          <w:lang w:eastAsia="en-US"/>
        </w:rPr>
        <w:t xml:space="preserve"> </w:t>
      </w:r>
      <w:r w:rsidR="008319DA" w:rsidRPr="0059136F">
        <w:rPr>
          <w:rFonts w:asciiTheme="minorHAnsi" w:eastAsiaTheme="minorHAnsi" w:hAnsiTheme="minorHAnsi" w:cstheme="minorBidi"/>
          <w:sz w:val="24"/>
          <w:szCs w:val="24"/>
          <w:lang w:eastAsia="en-US"/>
        </w:rPr>
        <w:t>(</w:t>
      </w:r>
      <w:r w:rsidR="008319DA">
        <w:rPr>
          <w:rFonts w:asciiTheme="minorHAnsi" w:eastAsiaTheme="minorHAnsi" w:hAnsiTheme="minorHAnsi" w:cstheme="minorBidi"/>
          <w:sz w:val="24"/>
          <w:szCs w:val="24"/>
          <w:lang w:eastAsia="en-US"/>
        </w:rPr>
        <w:t>CATEAAV2020</w:t>
      </w:r>
      <w:r w:rsidR="008319DA" w:rsidRPr="0059136F">
        <w:rPr>
          <w:rFonts w:asciiTheme="minorHAnsi" w:eastAsiaTheme="minorHAnsi" w:hAnsiTheme="minorHAnsi" w:cstheme="minorBidi"/>
          <w:sz w:val="24"/>
          <w:szCs w:val="24"/>
          <w:lang w:eastAsia="en-US"/>
        </w:rPr>
        <w:t>)</w:t>
      </w:r>
      <w:r>
        <w:rPr>
          <w:rFonts w:asciiTheme="minorHAnsi" w:eastAsiaTheme="minorHAnsi" w:hAnsiTheme="minorHAnsi" w:cstheme="minorBidi"/>
          <w:sz w:val="24"/>
          <w:szCs w:val="24"/>
          <w:lang w:eastAsia="en-US"/>
        </w:rPr>
        <w:t>.</w:t>
      </w:r>
    </w:p>
    <w:p w14:paraId="4C89AFE2" w14:textId="76CBA801" w:rsidR="00F26C6B" w:rsidRDefault="00F26C6B" w:rsidP="00AD3D49">
      <w:pPr>
        <w:pStyle w:val="PrformatHTML"/>
        <w:numPr>
          <w:ilvl w:val="0"/>
          <w:numId w:val="9"/>
        </w:numPr>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L</w:t>
      </w:r>
      <w:r w:rsidR="00880790">
        <w:rPr>
          <w:rFonts w:asciiTheme="minorHAnsi" w:eastAsiaTheme="minorHAnsi" w:hAnsiTheme="minorHAnsi" w:cstheme="minorBidi"/>
          <w:sz w:val="24"/>
          <w:szCs w:val="24"/>
          <w:lang w:eastAsia="en-US"/>
        </w:rPr>
        <w:t>a tranche d’aire d’attractivité des villes</w:t>
      </w:r>
      <w:r w:rsidR="002069B6">
        <w:rPr>
          <w:rFonts w:asciiTheme="minorHAnsi" w:eastAsiaTheme="minorHAnsi" w:hAnsiTheme="minorHAnsi" w:cstheme="minorBidi"/>
          <w:sz w:val="24"/>
          <w:szCs w:val="24"/>
          <w:lang w:eastAsia="en-US"/>
        </w:rPr>
        <w:t> : classification des aires d’attraction des villes en fonction de leur population en 2017</w:t>
      </w:r>
      <w:r w:rsidR="0080375A">
        <w:rPr>
          <w:rFonts w:asciiTheme="minorHAnsi" w:eastAsiaTheme="minorHAnsi" w:hAnsiTheme="minorHAnsi" w:cstheme="minorBidi"/>
          <w:sz w:val="24"/>
          <w:szCs w:val="24"/>
          <w:lang w:eastAsia="en-US"/>
        </w:rPr>
        <w:t xml:space="preserve"> </w:t>
      </w:r>
      <w:r w:rsidR="0080375A" w:rsidRPr="0059136F">
        <w:rPr>
          <w:rFonts w:asciiTheme="minorHAnsi" w:eastAsiaTheme="minorHAnsi" w:hAnsiTheme="minorHAnsi" w:cstheme="minorBidi"/>
          <w:sz w:val="24"/>
          <w:szCs w:val="24"/>
          <w:lang w:eastAsia="en-US"/>
        </w:rPr>
        <w:t>(</w:t>
      </w:r>
      <w:r w:rsidR="002069B6">
        <w:rPr>
          <w:rFonts w:asciiTheme="minorHAnsi" w:eastAsiaTheme="minorHAnsi" w:hAnsiTheme="minorHAnsi" w:cstheme="minorBidi"/>
          <w:sz w:val="24"/>
          <w:szCs w:val="24"/>
          <w:lang w:eastAsia="en-US"/>
        </w:rPr>
        <w:t>TAAV2017</w:t>
      </w:r>
      <w:r w:rsidR="0080375A" w:rsidRPr="0059136F">
        <w:rPr>
          <w:rFonts w:asciiTheme="minorHAnsi" w:eastAsiaTheme="minorHAnsi" w:hAnsiTheme="minorHAnsi" w:cstheme="minorBidi"/>
          <w:sz w:val="24"/>
          <w:szCs w:val="24"/>
          <w:lang w:eastAsia="en-US"/>
        </w:rPr>
        <w:t>)</w:t>
      </w:r>
      <w:r>
        <w:rPr>
          <w:rFonts w:asciiTheme="minorHAnsi" w:eastAsiaTheme="minorHAnsi" w:hAnsiTheme="minorHAnsi" w:cstheme="minorBidi"/>
          <w:sz w:val="24"/>
          <w:szCs w:val="24"/>
          <w:lang w:eastAsia="en-US"/>
        </w:rPr>
        <w:t>.</w:t>
      </w:r>
    </w:p>
    <w:p w14:paraId="3B03CD41" w14:textId="1662BCF1" w:rsidR="00F26C6B" w:rsidRDefault="00F26C6B" w:rsidP="00AD3D49">
      <w:pPr>
        <w:pStyle w:val="PrformatHTML"/>
        <w:numPr>
          <w:ilvl w:val="0"/>
          <w:numId w:val="9"/>
        </w:numPr>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L</w:t>
      </w:r>
      <w:r w:rsidR="00880790">
        <w:rPr>
          <w:rFonts w:asciiTheme="minorHAnsi" w:eastAsiaTheme="minorHAnsi" w:hAnsiTheme="minorHAnsi" w:cstheme="minorBidi"/>
          <w:sz w:val="24"/>
          <w:szCs w:val="24"/>
          <w:lang w:eastAsia="en-US"/>
        </w:rPr>
        <w:t>a tranche détaillée d’aire d’attracti</w:t>
      </w:r>
      <w:r w:rsidR="002069B6">
        <w:rPr>
          <w:rFonts w:asciiTheme="minorHAnsi" w:eastAsiaTheme="minorHAnsi" w:hAnsiTheme="minorHAnsi" w:cstheme="minorBidi"/>
          <w:sz w:val="24"/>
          <w:szCs w:val="24"/>
          <w:lang w:eastAsia="en-US"/>
        </w:rPr>
        <w:t>on des villes</w:t>
      </w:r>
      <w:r w:rsidR="00880790">
        <w:rPr>
          <w:rFonts w:asciiTheme="minorHAnsi" w:eastAsiaTheme="minorHAnsi" w:hAnsiTheme="minorHAnsi" w:cstheme="minorBidi"/>
          <w:sz w:val="24"/>
          <w:szCs w:val="24"/>
          <w:lang w:eastAsia="en-US"/>
        </w:rPr>
        <w:t xml:space="preserve"> </w:t>
      </w:r>
      <w:r w:rsidR="002069B6">
        <w:rPr>
          <w:rFonts w:asciiTheme="minorHAnsi" w:eastAsiaTheme="minorHAnsi" w:hAnsiTheme="minorHAnsi" w:cstheme="minorBidi"/>
          <w:sz w:val="24"/>
          <w:szCs w:val="24"/>
          <w:lang w:eastAsia="en-US"/>
        </w:rPr>
        <w:t xml:space="preserve">(découpage plus fin que la tranche d’aire d’attraction des villes) </w:t>
      </w:r>
      <w:r w:rsidR="002069B6" w:rsidRPr="0083401B">
        <w:rPr>
          <w:rFonts w:asciiTheme="minorHAnsi" w:eastAsiaTheme="minorHAnsi" w:hAnsiTheme="minorHAnsi" w:cstheme="minorBidi"/>
          <w:sz w:val="24"/>
          <w:szCs w:val="24"/>
          <w:lang w:eastAsia="en-US"/>
        </w:rPr>
        <w:t xml:space="preserve">à laquelle appartient la commune </w:t>
      </w:r>
      <w:r w:rsidR="0080375A" w:rsidRPr="0059136F">
        <w:rPr>
          <w:rFonts w:asciiTheme="minorHAnsi" w:eastAsiaTheme="minorHAnsi" w:hAnsiTheme="minorHAnsi" w:cstheme="minorBidi"/>
          <w:sz w:val="24"/>
          <w:szCs w:val="24"/>
          <w:lang w:eastAsia="en-US"/>
        </w:rPr>
        <w:t>(</w:t>
      </w:r>
      <w:r w:rsidR="002069B6">
        <w:rPr>
          <w:rFonts w:asciiTheme="minorHAnsi" w:eastAsiaTheme="minorHAnsi" w:hAnsiTheme="minorHAnsi" w:cstheme="minorBidi"/>
          <w:sz w:val="24"/>
          <w:szCs w:val="24"/>
          <w:lang w:eastAsia="en-US"/>
        </w:rPr>
        <w:t>TDAAV2017</w:t>
      </w:r>
      <w:r w:rsidR="0080375A" w:rsidRPr="0059136F">
        <w:rPr>
          <w:rFonts w:asciiTheme="minorHAnsi" w:eastAsiaTheme="minorHAnsi" w:hAnsiTheme="minorHAnsi" w:cstheme="minorBidi"/>
          <w:sz w:val="24"/>
          <w:szCs w:val="24"/>
          <w:lang w:eastAsia="en-US"/>
        </w:rPr>
        <w:t>)</w:t>
      </w:r>
      <w:r>
        <w:rPr>
          <w:rFonts w:asciiTheme="minorHAnsi" w:eastAsiaTheme="minorHAnsi" w:hAnsiTheme="minorHAnsi" w:cstheme="minorBidi"/>
          <w:sz w:val="24"/>
          <w:szCs w:val="24"/>
          <w:lang w:eastAsia="en-US"/>
        </w:rPr>
        <w:t>.</w:t>
      </w:r>
    </w:p>
    <w:p w14:paraId="1CFBC902" w14:textId="7701C8A2" w:rsidR="00F26C6B" w:rsidRPr="00AD3D49" w:rsidRDefault="00F26C6B" w:rsidP="00AD3D49">
      <w:pPr>
        <w:pStyle w:val="PrformatHTML"/>
        <w:numPr>
          <w:ilvl w:val="0"/>
          <w:numId w:val="9"/>
        </w:numPr>
        <w:jc w:val="both"/>
        <w:rPr>
          <w:rFonts w:ascii="Calibri" w:hAnsi="Calibri" w:cs="Calibri"/>
          <w:color w:val="000000"/>
          <w:sz w:val="24"/>
          <w:szCs w:val="24"/>
        </w:rPr>
      </w:pPr>
      <w:r>
        <w:rPr>
          <w:rFonts w:asciiTheme="minorHAnsi" w:eastAsiaTheme="minorHAnsi" w:hAnsiTheme="minorHAnsi" w:cstheme="minorBidi"/>
          <w:sz w:val="24"/>
          <w:szCs w:val="24"/>
          <w:lang w:eastAsia="en-US"/>
        </w:rPr>
        <w:t>L</w:t>
      </w:r>
      <w:r w:rsidR="00947E5F">
        <w:rPr>
          <w:rFonts w:asciiTheme="minorHAnsi" w:eastAsiaTheme="minorHAnsi" w:hAnsiTheme="minorHAnsi" w:cstheme="minorBidi"/>
          <w:sz w:val="24"/>
          <w:szCs w:val="24"/>
          <w:lang w:eastAsia="en-US"/>
        </w:rPr>
        <w:t>e</w:t>
      </w:r>
      <w:r w:rsidR="003D26D4">
        <w:rPr>
          <w:rFonts w:asciiTheme="minorHAnsi" w:eastAsiaTheme="minorHAnsi" w:hAnsiTheme="minorHAnsi" w:cstheme="minorBidi"/>
          <w:sz w:val="24"/>
          <w:szCs w:val="24"/>
          <w:lang w:eastAsia="en-US"/>
        </w:rPr>
        <w:t xml:space="preserve"> </w:t>
      </w:r>
      <w:r w:rsidR="003D26D4" w:rsidRPr="00F26C6B">
        <w:rPr>
          <w:rFonts w:asciiTheme="minorHAnsi" w:eastAsiaTheme="minorHAnsi" w:hAnsiTheme="minorHAnsi" w:cstheme="minorBidi"/>
          <w:sz w:val="24"/>
          <w:szCs w:val="24"/>
          <w:lang w:eastAsia="en-US"/>
        </w:rPr>
        <w:t>code du</w:t>
      </w:r>
      <w:r w:rsidR="001209ED" w:rsidRPr="00F26C6B">
        <w:rPr>
          <w:rFonts w:asciiTheme="minorHAnsi" w:eastAsiaTheme="minorHAnsi" w:hAnsiTheme="minorHAnsi" w:cstheme="minorBidi"/>
          <w:sz w:val="24"/>
          <w:szCs w:val="24"/>
          <w:lang w:eastAsia="en-US"/>
        </w:rPr>
        <w:t xml:space="preserve"> bassin de vie</w:t>
      </w:r>
      <w:r w:rsidR="00947E5F" w:rsidRPr="00F26C6B">
        <w:rPr>
          <w:rFonts w:asciiTheme="minorHAnsi" w:eastAsiaTheme="minorHAnsi" w:hAnsiTheme="minorHAnsi" w:cstheme="minorBidi"/>
          <w:sz w:val="24"/>
          <w:szCs w:val="24"/>
          <w:lang w:eastAsia="en-US"/>
        </w:rPr>
        <w:t xml:space="preserve"> </w:t>
      </w:r>
      <w:r w:rsidR="003D26D4" w:rsidRPr="00F26C6B">
        <w:rPr>
          <w:rFonts w:asciiTheme="minorHAnsi" w:eastAsiaTheme="minorHAnsi" w:hAnsiTheme="minorHAnsi" w:cstheme="minorBidi"/>
          <w:sz w:val="24"/>
          <w:szCs w:val="24"/>
          <w:lang w:eastAsia="en-US"/>
        </w:rPr>
        <w:t>auquel appartient</w:t>
      </w:r>
      <w:r w:rsidR="00947E5F" w:rsidRPr="00F26C6B">
        <w:rPr>
          <w:rFonts w:asciiTheme="minorHAnsi" w:eastAsiaTheme="minorHAnsi" w:hAnsiTheme="minorHAnsi" w:cstheme="minorBidi"/>
          <w:sz w:val="24"/>
          <w:szCs w:val="24"/>
          <w:lang w:eastAsia="en-US"/>
        </w:rPr>
        <w:t xml:space="preserve"> la commune (</w:t>
      </w:r>
      <w:r w:rsidR="005F7726" w:rsidRPr="00F26C6B">
        <w:rPr>
          <w:rFonts w:asciiTheme="minorHAnsi" w:eastAsiaTheme="minorHAnsi" w:hAnsiTheme="minorHAnsi" w:cstheme="minorBidi"/>
          <w:sz w:val="24"/>
          <w:szCs w:val="24"/>
          <w:lang w:eastAsia="en-US"/>
        </w:rPr>
        <w:t>BV202</w:t>
      </w:r>
      <w:r w:rsidR="003D26D4" w:rsidRPr="00F26C6B">
        <w:rPr>
          <w:rFonts w:asciiTheme="minorHAnsi" w:eastAsiaTheme="minorHAnsi" w:hAnsiTheme="minorHAnsi" w:cstheme="minorBidi"/>
          <w:sz w:val="24"/>
          <w:szCs w:val="24"/>
          <w:lang w:eastAsia="en-US"/>
        </w:rPr>
        <w:t>2</w:t>
      </w:r>
      <w:r w:rsidR="00947E5F" w:rsidRPr="00F26C6B">
        <w:rPr>
          <w:rFonts w:asciiTheme="minorHAnsi" w:eastAsiaTheme="minorHAnsi" w:hAnsiTheme="minorHAnsi" w:cstheme="minorBidi"/>
          <w:sz w:val="24"/>
          <w:szCs w:val="24"/>
          <w:lang w:eastAsia="en-US"/>
        </w:rPr>
        <w:t>)</w:t>
      </w:r>
      <w:r w:rsidRPr="00F26C6B">
        <w:rPr>
          <w:rFonts w:asciiTheme="minorHAnsi" w:eastAsiaTheme="minorHAnsi" w:hAnsiTheme="minorHAnsi" w:cstheme="minorBidi"/>
          <w:sz w:val="24"/>
          <w:szCs w:val="24"/>
          <w:lang w:eastAsia="en-US"/>
        </w:rPr>
        <w:t>.</w:t>
      </w:r>
    </w:p>
    <w:p w14:paraId="3B615FF7" w14:textId="7A2BD2A7" w:rsidR="00F26C6B" w:rsidRDefault="00F26C6B" w:rsidP="00AD3D49">
      <w:pPr>
        <w:pStyle w:val="PrformatHTML"/>
        <w:numPr>
          <w:ilvl w:val="0"/>
          <w:numId w:val="9"/>
        </w:numPr>
        <w:jc w:val="both"/>
        <w:rPr>
          <w:rFonts w:asciiTheme="minorHAnsi" w:eastAsiaTheme="minorHAnsi" w:hAnsiTheme="minorHAnsi" w:cstheme="minorBidi"/>
          <w:sz w:val="24"/>
          <w:szCs w:val="24"/>
          <w:lang w:eastAsia="en-US"/>
        </w:rPr>
      </w:pPr>
      <w:r w:rsidRPr="00AD3D49">
        <w:rPr>
          <w:rFonts w:ascii="Calibri" w:hAnsi="Calibri" w:cs="Calibri"/>
          <w:color w:val="000000"/>
          <w:sz w:val="24"/>
          <w:szCs w:val="24"/>
        </w:rPr>
        <w:t>L</w:t>
      </w:r>
      <w:r w:rsidR="008319DA" w:rsidRPr="00AD3D49">
        <w:rPr>
          <w:rFonts w:ascii="Calibri" w:hAnsi="Calibri" w:cs="Calibri"/>
          <w:color w:val="000000"/>
          <w:sz w:val="24"/>
          <w:szCs w:val="24"/>
        </w:rPr>
        <w:t>e type de la commune au sein du bassin de vie (TYPE_COMMUNE_BV2022)</w:t>
      </w:r>
      <w:r>
        <w:rPr>
          <w:rFonts w:ascii="Calibri" w:hAnsi="Calibri" w:cs="Calibri"/>
          <w:color w:val="000000"/>
          <w:sz w:val="24"/>
          <w:szCs w:val="24"/>
        </w:rPr>
        <w:t>.</w:t>
      </w:r>
    </w:p>
    <w:p w14:paraId="4B48D4BB" w14:textId="34E7AC74" w:rsidR="00F26C6B" w:rsidRDefault="00F26C6B" w:rsidP="00AD3D49">
      <w:pPr>
        <w:pStyle w:val="PrformatHTML"/>
        <w:numPr>
          <w:ilvl w:val="0"/>
          <w:numId w:val="9"/>
        </w:numPr>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L</w:t>
      </w:r>
      <w:r w:rsidR="00AB5232" w:rsidRPr="00F26C6B">
        <w:rPr>
          <w:rFonts w:asciiTheme="minorHAnsi" w:eastAsiaTheme="minorHAnsi" w:hAnsiTheme="minorHAnsi" w:cstheme="minorBidi"/>
          <w:sz w:val="24"/>
          <w:szCs w:val="24"/>
          <w:lang w:eastAsia="en-US"/>
        </w:rPr>
        <w:t>e type de bassin de vie auquel appartient la commune</w:t>
      </w:r>
      <w:r w:rsidR="00AB5232" w:rsidRPr="00B23E15">
        <w:rPr>
          <w:rFonts w:asciiTheme="minorHAnsi" w:eastAsiaTheme="minorHAnsi" w:hAnsiTheme="minorHAnsi" w:cstheme="minorBidi"/>
          <w:sz w:val="24"/>
          <w:szCs w:val="24"/>
          <w:lang w:eastAsia="en-US"/>
        </w:rPr>
        <w:t xml:space="preserve"> (TYPE_BV2022)</w:t>
      </w:r>
      <w:r>
        <w:rPr>
          <w:rFonts w:asciiTheme="minorHAnsi" w:eastAsiaTheme="minorHAnsi" w:hAnsiTheme="minorHAnsi" w:cstheme="minorBidi"/>
          <w:sz w:val="24"/>
          <w:szCs w:val="24"/>
          <w:lang w:eastAsia="en-US"/>
        </w:rPr>
        <w:t>.</w:t>
      </w:r>
    </w:p>
    <w:p w14:paraId="6F1ACC2F" w14:textId="580E9E29" w:rsidR="00F26C6B" w:rsidRDefault="00F26C6B" w:rsidP="00AD3D49">
      <w:pPr>
        <w:pStyle w:val="PrformatHTML"/>
        <w:numPr>
          <w:ilvl w:val="0"/>
          <w:numId w:val="9"/>
        </w:numPr>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L</w:t>
      </w:r>
      <w:r w:rsidR="00947E5F">
        <w:rPr>
          <w:rFonts w:asciiTheme="minorHAnsi" w:eastAsiaTheme="minorHAnsi" w:hAnsiTheme="minorHAnsi" w:cstheme="minorBidi"/>
          <w:sz w:val="24"/>
          <w:szCs w:val="24"/>
          <w:lang w:eastAsia="en-US"/>
        </w:rPr>
        <w:t xml:space="preserve">a </w:t>
      </w:r>
      <w:r w:rsidR="001209ED">
        <w:rPr>
          <w:rFonts w:asciiTheme="minorHAnsi" w:eastAsiaTheme="minorHAnsi" w:hAnsiTheme="minorHAnsi" w:cstheme="minorBidi"/>
          <w:sz w:val="24"/>
          <w:szCs w:val="24"/>
          <w:lang w:eastAsia="en-US"/>
        </w:rPr>
        <w:t xml:space="preserve">typologie urbaine ou rurale de la commune </w:t>
      </w:r>
      <w:r w:rsidR="007C10E9">
        <w:rPr>
          <w:rFonts w:asciiTheme="minorHAnsi" w:eastAsiaTheme="minorHAnsi" w:hAnsiTheme="minorHAnsi" w:cstheme="minorBidi"/>
          <w:sz w:val="24"/>
          <w:szCs w:val="24"/>
          <w:lang w:eastAsia="en-US"/>
        </w:rPr>
        <w:t>en 7 niveau</w:t>
      </w:r>
      <w:r w:rsidR="008319DA">
        <w:rPr>
          <w:rFonts w:asciiTheme="minorHAnsi" w:eastAsiaTheme="minorHAnsi" w:hAnsiTheme="minorHAnsi" w:cstheme="minorBidi"/>
          <w:sz w:val="24"/>
          <w:szCs w:val="24"/>
          <w:lang w:eastAsia="en-US"/>
        </w:rPr>
        <w:t>x</w:t>
      </w:r>
      <w:r w:rsidR="007C10E9">
        <w:rPr>
          <w:rFonts w:asciiTheme="minorHAnsi" w:eastAsiaTheme="minorHAnsi" w:hAnsiTheme="minorHAnsi" w:cstheme="minorBidi"/>
          <w:sz w:val="24"/>
          <w:szCs w:val="24"/>
          <w:lang w:eastAsia="en-US"/>
        </w:rPr>
        <w:t xml:space="preserve"> </w:t>
      </w:r>
      <w:r w:rsidR="001209ED">
        <w:rPr>
          <w:rFonts w:asciiTheme="minorHAnsi" w:eastAsiaTheme="minorHAnsi" w:hAnsiTheme="minorHAnsi" w:cstheme="minorBidi"/>
          <w:sz w:val="24"/>
          <w:szCs w:val="24"/>
          <w:lang w:eastAsia="en-US"/>
        </w:rPr>
        <w:t>définie à partir de la grille de densité communale</w:t>
      </w:r>
      <w:r w:rsidR="00947E5F">
        <w:rPr>
          <w:rFonts w:asciiTheme="minorHAnsi" w:eastAsiaTheme="minorHAnsi" w:hAnsiTheme="minorHAnsi" w:cstheme="minorBidi"/>
          <w:sz w:val="24"/>
          <w:szCs w:val="24"/>
          <w:lang w:eastAsia="en-US"/>
        </w:rPr>
        <w:t xml:space="preserve"> </w:t>
      </w:r>
      <w:r w:rsidR="00947E5F" w:rsidRPr="0059136F">
        <w:rPr>
          <w:rFonts w:asciiTheme="minorHAnsi" w:eastAsiaTheme="minorHAnsi" w:hAnsiTheme="minorHAnsi" w:cstheme="minorBidi"/>
          <w:sz w:val="24"/>
          <w:szCs w:val="24"/>
          <w:lang w:eastAsia="en-US"/>
        </w:rPr>
        <w:t>(</w:t>
      </w:r>
      <w:r w:rsidR="00481BDE">
        <w:rPr>
          <w:rFonts w:asciiTheme="minorHAnsi" w:eastAsiaTheme="minorHAnsi" w:hAnsiTheme="minorHAnsi" w:cstheme="minorBidi"/>
          <w:sz w:val="24"/>
          <w:szCs w:val="24"/>
          <w:lang w:eastAsia="en-US"/>
        </w:rPr>
        <w:t>Typo.degré.densité</w:t>
      </w:r>
      <w:r w:rsidR="00947E5F" w:rsidRPr="0059136F">
        <w:rPr>
          <w:rFonts w:asciiTheme="minorHAnsi" w:eastAsiaTheme="minorHAnsi" w:hAnsiTheme="minorHAnsi" w:cstheme="minorBidi"/>
          <w:sz w:val="24"/>
          <w:szCs w:val="24"/>
          <w:lang w:eastAsia="en-US"/>
        </w:rPr>
        <w:t>)</w:t>
      </w:r>
      <w:r>
        <w:rPr>
          <w:rFonts w:asciiTheme="minorHAnsi" w:eastAsiaTheme="minorHAnsi" w:hAnsiTheme="minorHAnsi" w:cstheme="minorBidi"/>
          <w:sz w:val="24"/>
          <w:szCs w:val="24"/>
          <w:lang w:eastAsia="en-US"/>
        </w:rPr>
        <w:t>.</w:t>
      </w:r>
    </w:p>
    <w:p w14:paraId="1E077D94" w14:textId="07A89411" w:rsidR="00F26C6B" w:rsidRDefault="00F26C6B" w:rsidP="00AD3D49">
      <w:pPr>
        <w:pStyle w:val="PrformatHTML"/>
        <w:numPr>
          <w:ilvl w:val="0"/>
          <w:numId w:val="9"/>
        </w:numPr>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L</w:t>
      </w:r>
      <w:r w:rsidR="00AB5232" w:rsidRPr="00B23E15">
        <w:rPr>
          <w:rFonts w:asciiTheme="minorHAnsi" w:eastAsiaTheme="minorHAnsi" w:hAnsiTheme="minorHAnsi" w:cstheme="minorBidi"/>
          <w:sz w:val="24"/>
          <w:szCs w:val="24"/>
          <w:lang w:eastAsia="en-US"/>
        </w:rPr>
        <w:t>a typologie urbaine ou rurale de la commune</w:t>
      </w:r>
      <w:r w:rsidR="007C10E9" w:rsidRPr="00B23E15">
        <w:rPr>
          <w:rFonts w:asciiTheme="minorHAnsi" w:eastAsiaTheme="minorHAnsi" w:hAnsiTheme="minorHAnsi" w:cstheme="minorBidi"/>
          <w:sz w:val="24"/>
          <w:szCs w:val="24"/>
          <w:lang w:eastAsia="en-US"/>
        </w:rPr>
        <w:t xml:space="preserve"> agrégée en deux niveaux</w:t>
      </w:r>
      <w:r w:rsidR="00AB5232" w:rsidRPr="00B23E15">
        <w:rPr>
          <w:rFonts w:asciiTheme="minorHAnsi" w:eastAsiaTheme="minorHAnsi" w:hAnsiTheme="minorHAnsi" w:cstheme="minorBidi"/>
          <w:sz w:val="24"/>
          <w:szCs w:val="24"/>
          <w:lang w:eastAsia="en-US"/>
        </w:rPr>
        <w:t xml:space="preserve"> (Type.rural.urbain)</w:t>
      </w:r>
      <w:r>
        <w:rPr>
          <w:rFonts w:asciiTheme="minorHAnsi" w:eastAsiaTheme="minorHAnsi" w:hAnsiTheme="minorHAnsi" w:cstheme="minorBidi"/>
          <w:sz w:val="24"/>
          <w:szCs w:val="24"/>
          <w:lang w:eastAsia="en-US"/>
        </w:rPr>
        <w:t>.</w:t>
      </w:r>
    </w:p>
    <w:p w14:paraId="16C3626C" w14:textId="036311EA" w:rsidR="00AB5232" w:rsidRPr="00B23E15" w:rsidRDefault="00F26C6B" w:rsidP="00AD3D49">
      <w:pPr>
        <w:pStyle w:val="PrformatHTML"/>
        <w:numPr>
          <w:ilvl w:val="0"/>
          <w:numId w:val="9"/>
        </w:numPr>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L</w:t>
      </w:r>
      <w:r w:rsidR="00DE4483">
        <w:rPr>
          <w:rFonts w:asciiTheme="minorHAnsi" w:eastAsiaTheme="minorHAnsi" w:hAnsiTheme="minorHAnsi" w:cstheme="minorBidi"/>
          <w:sz w:val="24"/>
          <w:szCs w:val="24"/>
          <w:lang w:eastAsia="en-US"/>
        </w:rPr>
        <w:t xml:space="preserve">e code de la </w:t>
      </w:r>
      <w:r w:rsidR="00B23E15">
        <w:rPr>
          <w:rFonts w:asciiTheme="minorHAnsi" w:eastAsiaTheme="minorHAnsi" w:hAnsiTheme="minorHAnsi" w:cstheme="minorBidi"/>
          <w:sz w:val="24"/>
          <w:szCs w:val="24"/>
          <w:lang w:eastAsia="en-US"/>
        </w:rPr>
        <w:t>c</w:t>
      </w:r>
      <w:r w:rsidR="00F039B7" w:rsidRPr="00B23E15">
        <w:rPr>
          <w:rFonts w:asciiTheme="minorHAnsi" w:eastAsiaTheme="minorHAnsi" w:hAnsiTheme="minorHAnsi" w:cstheme="minorBidi"/>
          <w:sz w:val="24"/>
          <w:szCs w:val="24"/>
          <w:lang w:eastAsia="en-US"/>
        </w:rPr>
        <w:t>ollectivité territoriale ayant les compétences départementales (</w:t>
      </w:r>
      <w:r w:rsidR="00AB5232" w:rsidRPr="00B23E15">
        <w:rPr>
          <w:rFonts w:asciiTheme="minorHAnsi" w:eastAsiaTheme="minorHAnsi" w:hAnsiTheme="minorHAnsi" w:cstheme="minorBidi"/>
          <w:sz w:val="24"/>
          <w:szCs w:val="24"/>
          <w:lang w:eastAsia="en-US"/>
        </w:rPr>
        <w:t>CTCD</w:t>
      </w:r>
      <w:r w:rsidR="00F039B7" w:rsidRPr="00B23E15">
        <w:rPr>
          <w:rFonts w:asciiTheme="minorHAnsi" w:eastAsiaTheme="minorHAnsi" w:hAnsiTheme="minorHAnsi" w:cstheme="minorBidi"/>
          <w:sz w:val="24"/>
          <w:szCs w:val="24"/>
          <w:lang w:eastAsia="en-US"/>
        </w:rPr>
        <w:t>)</w:t>
      </w:r>
      <w:r>
        <w:rPr>
          <w:rFonts w:asciiTheme="minorHAnsi" w:eastAsiaTheme="minorHAnsi" w:hAnsiTheme="minorHAnsi" w:cstheme="minorBidi"/>
          <w:sz w:val="24"/>
          <w:szCs w:val="24"/>
          <w:lang w:eastAsia="en-US"/>
        </w:rPr>
        <w:t>.</w:t>
      </w:r>
    </w:p>
    <w:p w14:paraId="1C8DA0FF" w14:textId="77777777" w:rsidR="00AB5232" w:rsidRDefault="00AB5232" w:rsidP="00D13DF8">
      <w:pPr>
        <w:pStyle w:val="PrformatHTML"/>
        <w:jc w:val="both"/>
        <w:rPr>
          <w:rFonts w:asciiTheme="minorHAnsi" w:eastAsiaTheme="minorHAnsi" w:hAnsiTheme="minorHAnsi" w:cstheme="minorBidi"/>
          <w:sz w:val="24"/>
          <w:szCs w:val="24"/>
          <w:lang w:eastAsia="en-US"/>
        </w:rPr>
      </w:pPr>
    </w:p>
    <w:p w14:paraId="5B529B93" w14:textId="6F21944D" w:rsidR="006E4B75" w:rsidRDefault="006E4B75" w:rsidP="00D13DF8">
      <w:pPr>
        <w:pStyle w:val="PrformatHTML"/>
        <w:jc w:val="both"/>
        <w:rPr>
          <w:rFonts w:asciiTheme="minorHAnsi" w:eastAsiaTheme="minorHAnsi" w:hAnsiTheme="minorHAnsi" w:cstheme="minorBidi"/>
          <w:sz w:val="24"/>
          <w:szCs w:val="24"/>
          <w:lang w:eastAsia="en-US"/>
        </w:rPr>
      </w:pPr>
    </w:p>
    <w:p w14:paraId="5ACF67B3" w14:textId="77777777" w:rsidR="00F62DA9" w:rsidRPr="00B23E15" w:rsidRDefault="00F62DA9" w:rsidP="00F62DA9">
      <w:pPr>
        <w:pStyle w:val="PrformatHTML"/>
        <w:jc w:val="both"/>
        <w:rPr>
          <w:rFonts w:asciiTheme="minorHAnsi" w:eastAsiaTheme="minorHAnsi" w:hAnsiTheme="minorHAnsi" w:cstheme="minorBidi"/>
          <w:sz w:val="24"/>
          <w:szCs w:val="24"/>
          <w:lang w:eastAsia="en-US"/>
        </w:rPr>
      </w:pPr>
      <w:r w:rsidRPr="00B23E15">
        <w:rPr>
          <w:rFonts w:asciiTheme="minorHAnsi" w:eastAsiaTheme="minorHAnsi" w:hAnsiTheme="minorHAnsi" w:cstheme="minorBidi"/>
          <w:sz w:val="24"/>
          <w:szCs w:val="24"/>
          <w:u w:val="single"/>
          <w:lang w:eastAsia="en-US"/>
        </w:rPr>
        <w:t xml:space="preserve">Les variables complémentaires issues de la </w:t>
      </w:r>
      <w:r w:rsidRPr="00B23E15">
        <w:rPr>
          <w:rFonts w:asciiTheme="minorHAnsi" w:eastAsiaTheme="minorHAnsi" w:hAnsiTheme="minorHAnsi" w:cstheme="minorBidi"/>
          <w:i/>
          <w:sz w:val="24"/>
          <w:szCs w:val="24"/>
          <w:u w:val="single"/>
          <w:lang w:eastAsia="en-US"/>
        </w:rPr>
        <w:t xml:space="preserve">table d’appartenance géographique des communes </w:t>
      </w:r>
      <w:r w:rsidRPr="00B23E15">
        <w:rPr>
          <w:rFonts w:asciiTheme="minorHAnsi" w:eastAsiaTheme="minorHAnsi" w:hAnsiTheme="minorHAnsi" w:cstheme="minorBidi"/>
          <w:sz w:val="24"/>
          <w:szCs w:val="24"/>
          <w:u w:val="single"/>
          <w:lang w:eastAsia="en-US"/>
        </w:rPr>
        <w:t>reprennent les codes utilisés par l’Insee et sont documentés plus en détails dans le fichier associé :</w:t>
      </w:r>
      <w:r w:rsidRPr="00B23E15">
        <w:rPr>
          <w:rFonts w:asciiTheme="minorHAnsi" w:eastAsiaTheme="minorHAnsi" w:hAnsiTheme="minorHAnsi" w:cstheme="minorBidi"/>
          <w:sz w:val="24"/>
          <w:szCs w:val="24"/>
          <w:lang w:eastAsia="en-US"/>
        </w:rPr>
        <w:t xml:space="preserve"> </w:t>
      </w:r>
    </w:p>
    <w:p w14:paraId="0632F996" w14:textId="4B31FE06" w:rsidR="002A1AC1" w:rsidRPr="00135FE0" w:rsidRDefault="00F62DA9" w:rsidP="00F62DA9">
      <w:pPr>
        <w:pStyle w:val="PrformatHTML"/>
        <w:jc w:val="both"/>
        <w:rPr>
          <w:rFonts w:asciiTheme="minorHAnsi" w:eastAsiaTheme="minorHAnsi" w:hAnsiTheme="minorHAnsi" w:cstheme="minorBidi"/>
          <w:sz w:val="24"/>
          <w:szCs w:val="24"/>
          <w:lang w:eastAsia="en-US"/>
        </w:rPr>
      </w:pPr>
      <w:r w:rsidRPr="00135FE0">
        <w:rPr>
          <w:rFonts w:asciiTheme="minorHAnsi" w:eastAsiaTheme="minorHAnsi" w:hAnsiTheme="minorHAnsi" w:cstheme="minorBidi"/>
          <w:sz w:val="24"/>
          <w:szCs w:val="24"/>
          <w:lang w:eastAsia="en-US"/>
        </w:rPr>
        <w:t>https://www.insee.fr/fr/information/7671844</w:t>
      </w:r>
    </w:p>
    <w:p w14:paraId="21448E59" w14:textId="77777777" w:rsidR="00F62DA9" w:rsidRDefault="00F62DA9" w:rsidP="00F62DA9">
      <w:pPr>
        <w:pStyle w:val="PrformatHTML"/>
        <w:jc w:val="both"/>
        <w:rPr>
          <w:rFonts w:asciiTheme="minorHAnsi" w:eastAsiaTheme="minorHAnsi" w:hAnsiTheme="minorHAnsi" w:cstheme="minorBidi"/>
          <w:sz w:val="24"/>
          <w:szCs w:val="24"/>
          <w:lang w:eastAsia="en-US"/>
        </w:rPr>
      </w:pPr>
    </w:p>
    <w:p w14:paraId="6C9DA284" w14:textId="34544CD9" w:rsidR="002A1AC1" w:rsidRDefault="002A1AC1" w:rsidP="00D13DF8">
      <w:pPr>
        <w:pStyle w:val="PrformatHTML"/>
        <w:jc w:val="both"/>
        <w:rPr>
          <w:rFonts w:asciiTheme="minorHAnsi" w:eastAsiaTheme="minorHAnsi" w:hAnsiTheme="minorHAnsi" w:cstheme="minorBidi"/>
          <w:sz w:val="24"/>
          <w:szCs w:val="24"/>
          <w:lang w:eastAsia="en-US"/>
        </w:rPr>
      </w:pPr>
      <w:r w:rsidRPr="00CA391D">
        <w:rPr>
          <w:rFonts w:asciiTheme="minorHAnsi" w:eastAsiaTheme="minorHAnsi" w:hAnsiTheme="minorHAnsi" w:cstheme="minorBidi"/>
          <w:sz w:val="24"/>
          <w:szCs w:val="24"/>
          <w:u w:val="single"/>
          <w:lang w:eastAsia="en-US"/>
        </w:rPr>
        <w:t xml:space="preserve">Pour plus de détails sur les codes officiels géographiques : </w:t>
      </w:r>
      <w:r w:rsidRPr="002A1AC1">
        <w:rPr>
          <w:rFonts w:asciiTheme="minorHAnsi" w:eastAsiaTheme="minorHAnsi" w:hAnsiTheme="minorHAnsi" w:cstheme="minorBidi"/>
          <w:sz w:val="24"/>
          <w:szCs w:val="24"/>
          <w:lang w:eastAsia="en-US"/>
        </w:rPr>
        <w:t>https://www.insee.fr/fr/information/2560452</w:t>
      </w:r>
    </w:p>
    <w:p w14:paraId="3CF8B15D" w14:textId="77777777" w:rsidR="002A1AC1" w:rsidRDefault="002A1AC1" w:rsidP="00D13DF8">
      <w:pPr>
        <w:pStyle w:val="PrformatHTML"/>
        <w:jc w:val="both"/>
        <w:rPr>
          <w:rFonts w:asciiTheme="minorHAnsi" w:eastAsiaTheme="minorHAnsi" w:hAnsiTheme="minorHAnsi" w:cstheme="minorBidi"/>
          <w:sz w:val="24"/>
          <w:szCs w:val="24"/>
          <w:lang w:eastAsia="en-US"/>
        </w:rPr>
      </w:pPr>
    </w:p>
    <w:p w14:paraId="702B76A7" w14:textId="77777777" w:rsidR="00135FE0" w:rsidRDefault="00135FE0" w:rsidP="00D13DF8">
      <w:pPr>
        <w:pStyle w:val="PrformatHTML"/>
        <w:jc w:val="both"/>
        <w:rPr>
          <w:rFonts w:asciiTheme="minorHAnsi" w:eastAsiaTheme="minorHAnsi" w:hAnsiTheme="minorHAnsi" w:cstheme="minorBidi"/>
          <w:sz w:val="24"/>
          <w:szCs w:val="24"/>
          <w:u w:val="single"/>
          <w:lang w:eastAsia="en-US"/>
        </w:rPr>
      </w:pPr>
    </w:p>
    <w:p w14:paraId="747FF510" w14:textId="77777777" w:rsidR="00E00161" w:rsidRDefault="002A1AC1" w:rsidP="00D13DF8">
      <w:pPr>
        <w:pStyle w:val="PrformatHTML"/>
        <w:jc w:val="both"/>
        <w:rPr>
          <w:rFonts w:asciiTheme="minorHAnsi" w:eastAsiaTheme="minorHAnsi" w:hAnsiTheme="minorHAnsi" w:cstheme="minorBidi"/>
          <w:sz w:val="24"/>
          <w:szCs w:val="24"/>
          <w:lang w:eastAsia="en-US"/>
        </w:rPr>
      </w:pPr>
      <w:r w:rsidRPr="00CA391D">
        <w:rPr>
          <w:rFonts w:asciiTheme="minorHAnsi" w:eastAsiaTheme="minorHAnsi" w:hAnsiTheme="minorHAnsi" w:cstheme="minorBidi"/>
          <w:sz w:val="24"/>
          <w:szCs w:val="24"/>
          <w:u w:val="single"/>
          <w:lang w:eastAsia="en-US"/>
        </w:rPr>
        <w:t>Pour plus de détails sur les EPCI :</w:t>
      </w:r>
      <w:r>
        <w:rPr>
          <w:rFonts w:asciiTheme="minorHAnsi" w:eastAsiaTheme="minorHAnsi" w:hAnsiTheme="minorHAnsi" w:cstheme="minorBidi"/>
          <w:sz w:val="24"/>
          <w:szCs w:val="24"/>
          <w:lang w:eastAsia="en-US"/>
        </w:rPr>
        <w:t xml:space="preserve"> </w:t>
      </w:r>
    </w:p>
    <w:p w14:paraId="40917E84" w14:textId="6BE96E0E" w:rsidR="002A1AC1" w:rsidRDefault="002A1AC1" w:rsidP="00D13DF8">
      <w:pPr>
        <w:pStyle w:val="PrformatHTML"/>
        <w:jc w:val="both"/>
        <w:rPr>
          <w:rFonts w:asciiTheme="minorHAnsi" w:eastAsiaTheme="minorHAnsi" w:hAnsiTheme="minorHAnsi" w:cstheme="minorBidi"/>
          <w:sz w:val="24"/>
          <w:szCs w:val="24"/>
          <w:lang w:eastAsia="en-US"/>
        </w:rPr>
      </w:pPr>
      <w:r w:rsidRPr="002A1AC1">
        <w:rPr>
          <w:rFonts w:asciiTheme="minorHAnsi" w:eastAsiaTheme="minorHAnsi" w:hAnsiTheme="minorHAnsi" w:cstheme="minorBidi"/>
          <w:sz w:val="24"/>
          <w:szCs w:val="24"/>
          <w:lang w:eastAsia="en-US"/>
        </w:rPr>
        <w:t>https://www.insee.fr/fr/information/2510634</w:t>
      </w:r>
    </w:p>
    <w:p w14:paraId="5F857008" w14:textId="77777777" w:rsidR="002A1AC1" w:rsidRDefault="002A1AC1" w:rsidP="00D13DF8">
      <w:pPr>
        <w:pStyle w:val="PrformatHTML"/>
        <w:jc w:val="both"/>
        <w:rPr>
          <w:rFonts w:asciiTheme="minorHAnsi" w:eastAsiaTheme="minorHAnsi" w:hAnsiTheme="minorHAnsi" w:cstheme="minorBidi"/>
          <w:sz w:val="24"/>
          <w:szCs w:val="24"/>
          <w:lang w:eastAsia="en-US"/>
        </w:rPr>
      </w:pPr>
    </w:p>
    <w:p w14:paraId="75300A0A" w14:textId="1F7FC9D0" w:rsidR="00E00161" w:rsidRDefault="002A1AC1" w:rsidP="00D13DF8">
      <w:pPr>
        <w:pStyle w:val="PrformatHTML"/>
        <w:jc w:val="both"/>
        <w:rPr>
          <w:rFonts w:asciiTheme="minorHAnsi" w:eastAsiaTheme="minorHAnsi" w:hAnsiTheme="minorHAnsi" w:cstheme="minorBidi"/>
          <w:sz w:val="24"/>
          <w:szCs w:val="24"/>
          <w:lang w:eastAsia="en-US"/>
        </w:rPr>
      </w:pPr>
      <w:r w:rsidRPr="00CA391D">
        <w:rPr>
          <w:rFonts w:asciiTheme="minorHAnsi" w:eastAsiaTheme="minorHAnsi" w:hAnsiTheme="minorHAnsi" w:cstheme="minorBidi"/>
          <w:sz w:val="24"/>
          <w:szCs w:val="24"/>
          <w:u w:val="single"/>
          <w:lang w:eastAsia="en-US"/>
        </w:rPr>
        <w:lastRenderedPageBreak/>
        <w:t xml:space="preserve">Pour plus de détails sur les </w:t>
      </w:r>
      <w:r w:rsidR="001209ED" w:rsidRPr="00CA391D">
        <w:rPr>
          <w:rFonts w:asciiTheme="minorHAnsi" w:eastAsiaTheme="minorHAnsi" w:hAnsiTheme="minorHAnsi" w:cstheme="minorBidi"/>
          <w:sz w:val="24"/>
          <w:szCs w:val="24"/>
          <w:u w:val="single"/>
          <w:lang w:eastAsia="en-US"/>
        </w:rPr>
        <w:t>zon</w:t>
      </w:r>
      <w:r w:rsidR="00A7153D" w:rsidRPr="00CA391D">
        <w:rPr>
          <w:rFonts w:asciiTheme="minorHAnsi" w:eastAsiaTheme="minorHAnsi" w:hAnsiTheme="minorHAnsi" w:cstheme="minorBidi"/>
          <w:sz w:val="24"/>
          <w:szCs w:val="24"/>
          <w:u w:val="single"/>
          <w:lang w:eastAsia="en-US"/>
        </w:rPr>
        <w:t>ag</w:t>
      </w:r>
      <w:r w:rsidR="001209ED" w:rsidRPr="00CA391D">
        <w:rPr>
          <w:rFonts w:asciiTheme="minorHAnsi" w:eastAsiaTheme="minorHAnsi" w:hAnsiTheme="minorHAnsi" w:cstheme="minorBidi"/>
          <w:sz w:val="24"/>
          <w:szCs w:val="24"/>
          <w:u w:val="single"/>
          <w:lang w:eastAsia="en-US"/>
        </w:rPr>
        <w:t>es statistiques de l’Insee (unités urbaines, aires d’attractivité des villes, zones d’emploi, bassin de vie</w:t>
      </w:r>
      <w:r w:rsidR="0082753E">
        <w:rPr>
          <w:rFonts w:asciiTheme="minorHAnsi" w:eastAsiaTheme="minorHAnsi" w:hAnsiTheme="minorHAnsi" w:cstheme="minorBidi"/>
          <w:sz w:val="24"/>
          <w:szCs w:val="24"/>
          <w:u w:val="single"/>
          <w:lang w:eastAsia="en-US"/>
        </w:rPr>
        <w:t xml:space="preserve">, </w:t>
      </w:r>
      <w:r w:rsidR="0082753E" w:rsidRPr="00CA391D">
        <w:rPr>
          <w:rFonts w:asciiTheme="minorHAnsi" w:eastAsiaTheme="minorHAnsi" w:hAnsiTheme="minorHAnsi" w:cstheme="minorBidi"/>
          <w:sz w:val="24"/>
          <w:szCs w:val="24"/>
          <w:u w:val="single"/>
          <w:lang w:eastAsia="en-US"/>
        </w:rPr>
        <w:t>grille communale de densité</w:t>
      </w:r>
      <w:r w:rsidR="001209ED" w:rsidRPr="00CA391D">
        <w:rPr>
          <w:rFonts w:asciiTheme="minorHAnsi" w:eastAsiaTheme="minorHAnsi" w:hAnsiTheme="minorHAnsi" w:cstheme="minorBidi"/>
          <w:sz w:val="24"/>
          <w:szCs w:val="24"/>
          <w:u w:val="single"/>
          <w:lang w:eastAsia="en-US"/>
        </w:rPr>
        <w:t>) :</w:t>
      </w:r>
      <w:r w:rsidR="001209ED">
        <w:rPr>
          <w:rFonts w:asciiTheme="minorHAnsi" w:eastAsiaTheme="minorHAnsi" w:hAnsiTheme="minorHAnsi" w:cstheme="minorBidi"/>
          <w:sz w:val="24"/>
          <w:szCs w:val="24"/>
          <w:lang w:eastAsia="en-US"/>
        </w:rPr>
        <w:t xml:space="preserve"> </w:t>
      </w:r>
    </w:p>
    <w:p w14:paraId="33A42437" w14:textId="77777777" w:rsidR="00B23E15" w:rsidRDefault="00B23E15" w:rsidP="00D13DF8">
      <w:pPr>
        <w:pStyle w:val="PrformatHTML"/>
        <w:jc w:val="both"/>
        <w:rPr>
          <w:rFonts w:asciiTheme="minorHAnsi" w:eastAsiaTheme="minorHAnsi" w:hAnsiTheme="minorHAnsi" w:cstheme="minorBidi"/>
          <w:sz w:val="24"/>
          <w:szCs w:val="24"/>
          <w:lang w:eastAsia="en-US"/>
        </w:rPr>
      </w:pPr>
    </w:p>
    <w:p w14:paraId="6BEE8F6C" w14:textId="28BCDFC9" w:rsidR="0082753E" w:rsidRDefault="0082753E"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UU - </w:t>
      </w:r>
      <w:r w:rsidRPr="00135FE0">
        <w:rPr>
          <w:rFonts w:asciiTheme="minorHAnsi" w:eastAsiaTheme="minorHAnsi" w:hAnsiTheme="minorHAnsi" w:cstheme="minorBidi"/>
          <w:sz w:val="24"/>
          <w:szCs w:val="24"/>
          <w:lang w:eastAsia="en-US"/>
        </w:rPr>
        <w:t>https://www.insee.fr/fr/information/4802589</w:t>
      </w:r>
    </w:p>
    <w:p w14:paraId="2EEB0F24" w14:textId="27E6FFD6" w:rsidR="00B23E15" w:rsidRPr="00135FE0" w:rsidRDefault="00B23E15"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AAV-</w:t>
      </w:r>
      <w:r w:rsidR="0082753E" w:rsidRPr="00135FE0">
        <w:rPr>
          <w:rFonts w:asciiTheme="minorHAnsi" w:eastAsiaTheme="minorHAnsi" w:hAnsiTheme="minorHAnsi" w:cstheme="minorBidi"/>
          <w:sz w:val="24"/>
          <w:szCs w:val="24"/>
          <w:lang w:eastAsia="en-US"/>
        </w:rPr>
        <w:t>https://www.insee.fr/fr/information/4803954</w:t>
      </w:r>
    </w:p>
    <w:p w14:paraId="19BC7DC4" w14:textId="45033B49" w:rsidR="0082753E" w:rsidRDefault="0082753E"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BV - </w:t>
      </w:r>
      <w:r w:rsidRPr="00135FE0">
        <w:rPr>
          <w:rFonts w:asciiTheme="minorHAnsi" w:eastAsiaTheme="minorHAnsi" w:hAnsiTheme="minorHAnsi" w:cstheme="minorBidi"/>
          <w:sz w:val="24"/>
          <w:szCs w:val="24"/>
          <w:lang w:eastAsia="en-US"/>
        </w:rPr>
        <w:t>https://www.insee.fr/fr/information/6676988</w:t>
      </w:r>
      <w:r>
        <w:rPr>
          <w:rFonts w:asciiTheme="minorHAnsi" w:eastAsiaTheme="minorHAnsi" w:hAnsiTheme="minorHAnsi" w:cstheme="minorBidi"/>
          <w:sz w:val="24"/>
          <w:szCs w:val="24"/>
          <w:lang w:eastAsia="en-US"/>
        </w:rPr>
        <w:t xml:space="preserve"> </w:t>
      </w:r>
    </w:p>
    <w:p w14:paraId="12EC48A2" w14:textId="0F49AD53" w:rsidR="0082753E" w:rsidRDefault="0082753E"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ZE - </w:t>
      </w:r>
      <w:r w:rsidR="00D13AB9" w:rsidRPr="00135FE0">
        <w:rPr>
          <w:rFonts w:asciiTheme="minorHAnsi" w:eastAsiaTheme="minorHAnsi" w:hAnsiTheme="minorHAnsi" w:cstheme="minorBidi"/>
          <w:sz w:val="24"/>
          <w:szCs w:val="24"/>
          <w:lang w:eastAsia="en-US"/>
        </w:rPr>
        <w:t>https://www.insee.fr/fr/information/4652957</w:t>
      </w:r>
    </w:p>
    <w:p w14:paraId="3716356B" w14:textId="77777777" w:rsidR="00D13AB9" w:rsidRDefault="00D13AB9" w:rsidP="00D13AB9">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Grille de densité - </w:t>
      </w:r>
      <w:r w:rsidRPr="0082753E">
        <w:rPr>
          <w:rFonts w:asciiTheme="minorHAnsi" w:eastAsiaTheme="minorHAnsi" w:hAnsiTheme="minorHAnsi" w:cstheme="minorBidi"/>
          <w:sz w:val="24"/>
          <w:szCs w:val="24"/>
          <w:lang w:eastAsia="en-US"/>
        </w:rPr>
        <w:t>https://www.insee.fr/fr/information/6439600</w:t>
      </w:r>
    </w:p>
    <w:p w14:paraId="58448567" w14:textId="77777777" w:rsidR="00D13AB9" w:rsidRDefault="00D13AB9" w:rsidP="00D13DF8">
      <w:pPr>
        <w:pStyle w:val="PrformatHTML"/>
        <w:jc w:val="both"/>
        <w:rPr>
          <w:rFonts w:asciiTheme="minorHAnsi" w:eastAsiaTheme="minorHAnsi" w:hAnsiTheme="minorHAnsi" w:cstheme="minorBidi"/>
          <w:sz w:val="24"/>
          <w:szCs w:val="24"/>
          <w:lang w:eastAsia="en-US"/>
        </w:rPr>
      </w:pPr>
    </w:p>
    <w:p w14:paraId="53B32833" w14:textId="77777777" w:rsidR="00F5079A" w:rsidRDefault="00F5079A" w:rsidP="00D13DF8">
      <w:pPr>
        <w:pStyle w:val="PrformatHTML"/>
        <w:jc w:val="both"/>
        <w:rPr>
          <w:rFonts w:asciiTheme="minorHAnsi" w:eastAsiaTheme="minorHAnsi" w:hAnsiTheme="minorHAnsi" w:cstheme="minorBidi"/>
          <w:sz w:val="24"/>
          <w:szCs w:val="24"/>
          <w:lang w:eastAsia="en-US"/>
        </w:rPr>
      </w:pPr>
    </w:p>
    <w:p w14:paraId="0F1ED955" w14:textId="7B900AC3" w:rsidR="00E00161" w:rsidRDefault="00E00161">
      <w:pPr>
        <w:rPr>
          <w:sz w:val="24"/>
          <w:szCs w:val="24"/>
        </w:rPr>
      </w:pPr>
      <w:r>
        <w:rPr>
          <w:sz w:val="24"/>
          <w:szCs w:val="24"/>
        </w:rPr>
        <w:br w:type="page"/>
      </w:r>
    </w:p>
    <w:p w14:paraId="5A6FE981" w14:textId="77777777" w:rsidR="002A1AC1" w:rsidRDefault="002A1AC1" w:rsidP="002A1AC1">
      <w:pPr>
        <w:pStyle w:val="PrformatHTML"/>
        <w:rPr>
          <w:rFonts w:asciiTheme="minorHAnsi" w:eastAsiaTheme="minorHAnsi" w:hAnsiTheme="minorHAnsi" w:cstheme="minorBidi"/>
          <w:sz w:val="24"/>
          <w:szCs w:val="24"/>
          <w:lang w:eastAsia="en-US"/>
        </w:rPr>
      </w:pPr>
    </w:p>
    <w:p w14:paraId="18AE17C2" w14:textId="5614EFA2" w:rsidR="00AE6368" w:rsidRPr="00CA391D" w:rsidRDefault="00337FAB" w:rsidP="00B23E15">
      <w:pPr>
        <w:pStyle w:val="NormalWeb"/>
        <w:spacing w:before="0" w:beforeAutospacing="0" w:after="0" w:afterAutospacing="0"/>
        <w:jc w:val="both"/>
        <w:rPr>
          <w:rFonts w:asciiTheme="minorHAnsi" w:eastAsiaTheme="minorHAnsi" w:hAnsiTheme="minorHAnsi" w:cstheme="minorBidi"/>
          <w:b/>
          <w:lang w:eastAsia="en-US"/>
        </w:rPr>
      </w:pPr>
      <w:r w:rsidRPr="00CA391D">
        <w:rPr>
          <w:rFonts w:asciiTheme="minorHAnsi" w:eastAsiaTheme="minorHAnsi" w:hAnsiTheme="minorHAnsi" w:cstheme="minorBidi"/>
          <w:b/>
          <w:u w:val="single"/>
          <w:lang w:eastAsia="en-US"/>
        </w:rPr>
        <w:t xml:space="preserve">Avertissement : </w:t>
      </w:r>
      <w:r w:rsidR="004B63C4" w:rsidRPr="00CA391D">
        <w:rPr>
          <w:rFonts w:asciiTheme="minorHAnsi" w:eastAsiaTheme="minorHAnsi" w:hAnsiTheme="minorHAnsi" w:cstheme="minorBidi"/>
          <w:b/>
          <w:lang w:eastAsia="en-US"/>
        </w:rPr>
        <w:t>méthodologies spécifiques associées aux indicateurs des crimes et délits à l’échelle des communes</w:t>
      </w:r>
      <w:r w:rsidR="00C80566">
        <w:rPr>
          <w:rFonts w:asciiTheme="minorHAnsi" w:eastAsiaTheme="minorHAnsi" w:hAnsiTheme="minorHAnsi" w:cstheme="minorBidi"/>
          <w:b/>
          <w:lang w:eastAsia="en-US"/>
        </w:rPr>
        <w:t xml:space="preserve"> et des arrondissements</w:t>
      </w:r>
    </w:p>
    <w:p w14:paraId="545E6F82" w14:textId="667259FF" w:rsidR="00C80566" w:rsidRDefault="00C80566" w:rsidP="00B23E15">
      <w:pPr>
        <w:pStyle w:val="NormalWeb"/>
        <w:spacing w:after="0"/>
        <w:jc w:val="both"/>
      </w:pPr>
      <w:r w:rsidRPr="00CA391D">
        <w:rPr>
          <w:rFonts w:asciiTheme="minorHAnsi" w:eastAsiaTheme="minorHAnsi" w:hAnsiTheme="minorHAnsi" w:cstheme="minorBidi"/>
          <w:lang w:eastAsia="en-US"/>
        </w:rPr>
        <w:t>Les traitements statistiques des crimes et délits à l’échelle communale</w:t>
      </w:r>
      <w:r>
        <w:rPr>
          <w:rFonts w:asciiTheme="minorHAnsi" w:eastAsiaTheme="minorHAnsi" w:hAnsiTheme="minorHAnsi" w:cstheme="minorBidi"/>
          <w:lang w:eastAsia="en-US"/>
        </w:rPr>
        <w:t xml:space="preserve"> et à l’échelle de l’arrondissement</w:t>
      </w:r>
      <w:r w:rsidRPr="00CA391D">
        <w:rPr>
          <w:rFonts w:asciiTheme="minorHAnsi" w:eastAsiaTheme="minorHAnsi" w:hAnsiTheme="minorHAnsi" w:cstheme="minorBidi"/>
          <w:lang w:eastAsia="en-US"/>
        </w:rPr>
        <w:t xml:space="preserve"> comportent certaines limites liées à l’interprétation des niveaux</w:t>
      </w:r>
      <w:r w:rsidRPr="00CA391D">
        <w:rPr>
          <w:rFonts w:asciiTheme="minorHAnsi" w:eastAsiaTheme="minorHAnsi" w:hAnsiTheme="minorHAnsi" w:cstheme="minorBidi"/>
          <w:b/>
          <w:lang w:eastAsia="en-US"/>
        </w:rPr>
        <w:t xml:space="preserve"> </w:t>
      </w:r>
      <w:r w:rsidRPr="00CA391D">
        <w:rPr>
          <w:rFonts w:asciiTheme="minorHAnsi" w:eastAsiaTheme="minorHAnsi" w:hAnsiTheme="minorHAnsi" w:cstheme="minorBidi"/>
          <w:lang w:eastAsia="en-US"/>
        </w:rPr>
        <w:t>faibles d’infractions criminelles et délictuelles enregistrées et au respect du secret statistique dont l’utilisateur doit avoir connaissance préalablement à toute analyse.</w:t>
      </w:r>
      <w:r w:rsidRPr="00CD1419">
        <w:t xml:space="preserve"> </w:t>
      </w:r>
    </w:p>
    <w:p w14:paraId="50614146" w14:textId="77777777" w:rsidR="00C80566" w:rsidRDefault="00C80566" w:rsidP="00B23E15">
      <w:pPr>
        <w:pStyle w:val="NormalWeb"/>
        <w:spacing w:before="0" w:beforeAutospacing="0" w:after="0" w:afterAutospacing="0"/>
        <w:jc w:val="both"/>
        <w:rPr>
          <w:rFonts w:asciiTheme="minorHAnsi" w:eastAsiaTheme="minorHAnsi" w:hAnsiTheme="minorHAnsi" w:cstheme="minorBidi"/>
          <w:b/>
          <w:lang w:eastAsia="en-US"/>
        </w:rPr>
      </w:pPr>
    </w:p>
    <w:p w14:paraId="6214E449" w14:textId="093C1BE5" w:rsidR="00C80566" w:rsidRPr="00E00161" w:rsidRDefault="00C80566" w:rsidP="00B23E15">
      <w:pPr>
        <w:pStyle w:val="NormalWeb"/>
        <w:spacing w:before="0" w:beforeAutospacing="0" w:after="0" w:afterAutospacing="0"/>
        <w:jc w:val="both"/>
        <w:rPr>
          <w:rFonts w:asciiTheme="minorHAnsi" w:eastAsiaTheme="minorHAnsi" w:hAnsiTheme="minorHAnsi" w:cstheme="minorBidi"/>
          <w:b/>
          <w:u w:val="single"/>
          <w:lang w:eastAsia="en-US"/>
        </w:rPr>
      </w:pPr>
      <w:r w:rsidRPr="00E00161">
        <w:rPr>
          <w:rFonts w:asciiTheme="minorHAnsi" w:eastAsiaTheme="minorHAnsi" w:hAnsiTheme="minorHAnsi" w:cstheme="minorBidi"/>
          <w:b/>
          <w:u w:val="single"/>
          <w:lang w:eastAsia="en-US"/>
        </w:rPr>
        <w:t>Seuil de diffusion des communes :</w:t>
      </w:r>
    </w:p>
    <w:p w14:paraId="5C166881" w14:textId="77777777" w:rsidR="008533A8" w:rsidRPr="0025617D" w:rsidRDefault="008533A8" w:rsidP="00B23E15">
      <w:pPr>
        <w:pStyle w:val="FirstParagraph"/>
        <w:jc w:val="both"/>
        <w:rPr>
          <w:lang w:val="fr-FR"/>
        </w:rPr>
      </w:pPr>
      <w:r w:rsidRPr="0025617D">
        <w:rPr>
          <w:lang w:val="fr-FR"/>
        </w:rPr>
        <w:t>Les données ne sont pas communiquées pour les valeurs faibles de délinquance enregistrées, à la fois pour des raisons d’interprétabilité de ces données et de respect du secret statistique. Il existe toujours une certaine imprécision sur le lieu de commission de l’atteinte. En particulier, lorsque le lieu de l’atteinte est déterminé à partir des déclarations de la victime : l’imprécision peut aussi bien provenir d’un effet de mémoire pour des faits passés, comme de la connaissance partielle du lieu de commission. Par exemple, il n’est pas rare qu’une zone d’activité commerciale soit à cheval sur plusieurs communes limitrophes. Un vol sur le parking de cette ZAC sera alors attribué avec imprécision à l’une des communes. Par ailleurs, la déclaration de l’atteinte auprès des services de police ou de gendarmerie n’est pas systématique. Ainsi, une variation de quelques unités des faits enregistrés dans une commune peut être liée à ce comportement déclaratif, plus qu’à l’évolution réelle de la délinquance. Pris isolément, les petits niveaux et leurs variations doivent être analysés avec beaucoup de prudence. Enfin, la délinquance est souvent analysée à partir des taux pour 1 000 habitants ou logements pour neutraliser les effets liés à la taille des territoires. Par conséquent, pour de petites communes, une faible variation de la délinquance ou de la population induit une plus grande volatilité de ce taux.</w:t>
      </w:r>
    </w:p>
    <w:p w14:paraId="10A56314" w14:textId="77777777" w:rsidR="00E00161" w:rsidRPr="0025617D" w:rsidRDefault="00C80566" w:rsidP="00B23E15">
      <w:pPr>
        <w:pStyle w:val="Corpsdetexte"/>
        <w:jc w:val="both"/>
        <w:rPr>
          <w:b/>
          <w:u w:val="single"/>
          <w:lang w:val="fr-FR"/>
        </w:rPr>
      </w:pPr>
      <w:r w:rsidRPr="0025617D">
        <w:rPr>
          <w:b/>
          <w:u w:val="single"/>
          <w:lang w:val="fr-FR"/>
        </w:rPr>
        <w:t>Seuil de diffusion des arrondissements</w:t>
      </w:r>
      <w:r w:rsidR="00E00161" w:rsidRPr="0025617D">
        <w:rPr>
          <w:b/>
          <w:u w:val="single"/>
          <w:lang w:val="fr-FR"/>
        </w:rPr>
        <w:t>:</w:t>
      </w:r>
    </w:p>
    <w:p w14:paraId="19941C78" w14:textId="33D6B8CE" w:rsidR="00C80566" w:rsidRPr="0025617D" w:rsidRDefault="00C80566" w:rsidP="00B23E15">
      <w:pPr>
        <w:pStyle w:val="Corpsdetexte"/>
        <w:jc w:val="both"/>
        <w:rPr>
          <w:lang w:val="fr-FR"/>
        </w:rPr>
      </w:pPr>
      <w:r w:rsidRPr="0025617D">
        <w:rPr>
          <w:lang w:val="fr-FR"/>
        </w:rPr>
        <w:t xml:space="preserve"> Entre 2016 et 2022, plus de 5 faits ont été enregistrés dans chaque arrondissement de Paris, Lyon et Marseille pour chaque atteinte à l’exception des vols avec armes. Pour cette atteinte, à Paris de 2020 à 2022 et Lyon de 2016 à 2022, 3 arrondissements ne sont pas diffusés afin de ne pas permettre par différence avec la donnée communale de déduire la valeur non diffusable pour un des arrondissements.</w:t>
      </w:r>
    </w:p>
    <w:p w14:paraId="3A29E6E7" w14:textId="77777777" w:rsidR="00B23E15" w:rsidRDefault="00243323" w:rsidP="00B23E15">
      <w:pPr>
        <w:pStyle w:val="Corpsdetexte"/>
        <w:jc w:val="both"/>
        <w:rPr>
          <w:b/>
          <w:u w:val="single"/>
          <w:lang w:val="fr-FR"/>
        </w:rPr>
      </w:pPr>
      <w:r w:rsidRPr="00B23E15">
        <w:rPr>
          <w:b/>
          <w:u w:val="single"/>
          <w:lang w:val="fr-FR"/>
        </w:rPr>
        <w:t>Méthode d’imputation pour les infractions pour lesquelles la localisation est inconnue</w:t>
      </w:r>
      <w:r w:rsidR="00B23E15" w:rsidRPr="00B23E15">
        <w:rPr>
          <w:b/>
          <w:u w:val="single"/>
          <w:lang w:val="fr-FR"/>
        </w:rPr>
        <w:t> :</w:t>
      </w:r>
    </w:p>
    <w:p w14:paraId="1AB3F4B5" w14:textId="55FDDA4E" w:rsidR="00243323" w:rsidRPr="00B23E15" w:rsidRDefault="00243323" w:rsidP="00B23E15">
      <w:pPr>
        <w:pStyle w:val="Corpsdetexte"/>
        <w:jc w:val="both"/>
        <w:rPr>
          <w:lang w:val="fr-FR"/>
        </w:rPr>
      </w:pPr>
      <w:r w:rsidRPr="00B23E15">
        <w:rPr>
          <w:lang w:val="fr-FR"/>
        </w:rPr>
        <w:t xml:space="preserve">Ventiler les infractions enregistrées par la police et la gendarmerie nationales, selon le lieu où elles se sont produites sur le territoire - appelé lieu de commission -, n’est pas totalement immédiat. En effet, le lieu de commission n’est pas précisément connu pour l’ensemble des faits constatés, et pour une part mineure des infractions, la commune de commission ne l’est pas non plus. Cette part est néanmoins faible et ne dépasse pas 1 % en 2021. Pour les faits sans commune de commission renseignée, une commune leur est donc assignée. Pour cela, pour une infraction, une année et un fait sans commune de commission donnés, une commune est sélectionnée parmi l’ensemble des communes qui enregistrent au moins une infraction dans l’année. Cette sélection </w:t>
      </w:r>
      <w:r w:rsidRPr="00B23E15">
        <w:rPr>
          <w:lang w:val="fr-FR"/>
        </w:rPr>
        <w:lastRenderedPageBreak/>
        <w:t>aléatoire est orientée : elle intègre un poids plus fort (respectivement faible) pour les communes dans lesquelles un grand (respectivement petit) nombre d’infractions se sont produites. Cette méthode permet notamment d’éviter d’introduire un biais dans la répartition territoriale de la délinquance, en conservant la ventilation départementale et communale avant et après imputation.</w:t>
      </w:r>
    </w:p>
    <w:p w14:paraId="0EA817E0" w14:textId="6C096E69" w:rsidR="0037581C" w:rsidRPr="00B23E15" w:rsidRDefault="00C2251C" w:rsidP="00B23E15">
      <w:pPr>
        <w:pStyle w:val="NormalWeb"/>
        <w:spacing w:after="0"/>
        <w:jc w:val="both"/>
        <w:rPr>
          <w:rFonts w:asciiTheme="minorHAnsi" w:eastAsiaTheme="minorHAnsi" w:hAnsiTheme="minorHAnsi" w:cstheme="minorBidi"/>
          <w:b/>
          <w:i/>
          <w:lang w:eastAsia="en-US"/>
        </w:rPr>
      </w:pPr>
      <w:r w:rsidRPr="00B23E15">
        <w:rPr>
          <w:rFonts w:asciiTheme="minorHAnsi" w:eastAsiaTheme="minorHAnsi" w:hAnsiTheme="minorHAnsi" w:cstheme="minorBidi"/>
          <w:i/>
          <w:lang w:eastAsia="en-US"/>
        </w:rPr>
        <w:t>S</w:t>
      </w:r>
      <w:r w:rsidR="0037581C" w:rsidRPr="00B23E15">
        <w:rPr>
          <w:rFonts w:asciiTheme="minorHAnsi" w:eastAsiaTheme="minorHAnsi" w:hAnsiTheme="minorHAnsi" w:cstheme="minorBidi"/>
          <w:i/>
          <w:lang w:eastAsia="en-US"/>
        </w:rPr>
        <w:t xml:space="preserve">ur les méthodologies et les seuils d’interprétation des données communales, </w:t>
      </w:r>
      <w:r w:rsidRPr="00B23E15">
        <w:rPr>
          <w:rFonts w:asciiTheme="minorHAnsi" w:eastAsiaTheme="minorHAnsi" w:hAnsiTheme="minorHAnsi" w:cstheme="minorBidi"/>
          <w:i/>
          <w:lang w:eastAsia="en-US"/>
        </w:rPr>
        <w:t>voir aussi l’</w:t>
      </w:r>
      <w:r w:rsidR="00243323" w:rsidRPr="00B23E15">
        <w:rPr>
          <w:rFonts w:asciiTheme="minorHAnsi" w:eastAsiaTheme="minorHAnsi" w:hAnsiTheme="minorHAnsi" w:cstheme="minorBidi"/>
          <w:i/>
          <w:lang w:eastAsia="en-US"/>
        </w:rPr>
        <w:t>encadré</w:t>
      </w:r>
      <w:r w:rsidR="00825F9B" w:rsidRPr="00B23E15">
        <w:rPr>
          <w:rFonts w:asciiTheme="minorHAnsi" w:eastAsiaTheme="minorHAnsi" w:hAnsiTheme="minorHAnsi" w:cstheme="minorBidi"/>
          <w:i/>
          <w:lang w:eastAsia="en-US"/>
        </w:rPr>
        <w:t>s</w:t>
      </w:r>
      <w:r w:rsidR="00243323" w:rsidRPr="00B23E15">
        <w:rPr>
          <w:rFonts w:asciiTheme="minorHAnsi" w:eastAsiaTheme="minorHAnsi" w:hAnsiTheme="minorHAnsi" w:cstheme="minorBidi"/>
          <w:i/>
          <w:lang w:eastAsia="en-US"/>
        </w:rPr>
        <w:t xml:space="preserve"> 1</w:t>
      </w:r>
      <w:r w:rsidR="00825F9B" w:rsidRPr="00B23E15">
        <w:rPr>
          <w:rFonts w:asciiTheme="minorHAnsi" w:eastAsiaTheme="minorHAnsi" w:hAnsiTheme="minorHAnsi" w:cstheme="minorBidi"/>
          <w:i/>
          <w:lang w:eastAsia="en-US"/>
        </w:rPr>
        <w:t xml:space="preserve"> et 2</w:t>
      </w:r>
      <w:r w:rsidR="008533A8" w:rsidRPr="00B23E15">
        <w:rPr>
          <w:rFonts w:asciiTheme="minorHAnsi" w:eastAsiaTheme="minorHAnsi" w:hAnsiTheme="minorHAnsi" w:cstheme="minorBidi"/>
          <w:i/>
          <w:lang w:eastAsia="en-US"/>
        </w:rPr>
        <w:t xml:space="preserve"> </w:t>
      </w:r>
      <w:r w:rsidR="0037581C" w:rsidRPr="00B23E15">
        <w:rPr>
          <w:rFonts w:asciiTheme="minorHAnsi" w:eastAsiaTheme="minorHAnsi" w:hAnsiTheme="minorHAnsi" w:cstheme="minorBidi"/>
          <w:i/>
          <w:lang w:eastAsia="en-US"/>
        </w:rPr>
        <w:t>de la publication Géographie de la délinquance à l’échelle communale (</w:t>
      </w:r>
      <w:r w:rsidR="00243323" w:rsidRPr="00B23E15">
        <w:rPr>
          <w:rFonts w:asciiTheme="minorHAnsi" w:eastAsiaTheme="minorHAnsi" w:hAnsiTheme="minorHAnsi" w:cstheme="minorBidi"/>
          <w:i/>
          <w:lang w:eastAsia="en-US"/>
        </w:rPr>
        <w:t>https://www.interieur.gouv.fr/Interstats/Publications/Interstats-Analyse/Interstats-Analyse-n-56-Geographie-de-la-delinquance-a-l-echelle-communale-en-2022</w:t>
      </w:r>
      <w:r w:rsidR="0037581C" w:rsidRPr="00B23E15">
        <w:rPr>
          <w:rFonts w:asciiTheme="minorHAnsi" w:eastAsiaTheme="minorHAnsi" w:hAnsiTheme="minorHAnsi" w:cstheme="minorBidi"/>
          <w:i/>
          <w:lang w:eastAsia="en-US"/>
        </w:rPr>
        <w:t>)</w:t>
      </w:r>
    </w:p>
    <w:p w14:paraId="3EFBEEA8" w14:textId="77777777" w:rsidR="00AE6368" w:rsidRPr="001651EB" w:rsidRDefault="00AE6368" w:rsidP="003014B0">
      <w:pPr>
        <w:pStyle w:val="NormalWeb"/>
        <w:spacing w:before="0" w:beforeAutospacing="0" w:after="0" w:afterAutospacing="0"/>
        <w:rPr>
          <w:rFonts w:asciiTheme="minorHAnsi" w:eastAsiaTheme="minorHAnsi" w:hAnsiTheme="minorHAnsi" w:cstheme="minorBidi"/>
          <w:highlight w:val="yellow"/>
          <w:lang w:eastAsia="en-US"/>
        </w:rPr>
      </w:pPr>
    </w:p>
    <w:p w14:paraId="5B80E1AC" w14:textId="138D6DF3" w:rsidR="00BA1059" w:rsidRDefault="00BA1059" w:rsidP="003944EE">
      <w:pPr>
        <w:pStyle w:val="NormalWeb"/>
        <w:spacing w:before="0" w:beforeAutospacing="0" w:after="0" w:afterAutospacing="0"/>
        <w:rPr>
          <w:rFonts w:asciiTheme="minorHAnsi" w:eastAsiaTheme="minorHAnsi" w:hAnsiTheme="minorHAnsi" w:cstheme="minorBidi"/>
          <w:lang w:eastAsia="en-US"/>
        </w:rPr>
      </w:pPr>
    </w:p>
    <w:p w14:paraId="70BF8D8B" w14:textId="1F50CE60" w:rsidR="00C8305D" w:rsidRPr="00B23E15" w:rsidRDefault="00A433C6" w:rsidP="00057435">
      <w:pPr>
        <w:pStyle w:val="NormalWeb"/>
        <w:spacing w:before="0" w:beforeAutospacing="0" w:after="0" w:afterAutospacing="0"/>
        <w:rPr>
          <w:rFonts w:asciiTheme="minorHAnsi" w:eastAsiaTheme="minorHAnsi" w:hAnsiTheme="minorHAnsi" w:cstheme="minorBidi"/>
          <w:b/>
          <w:u w:val="single"/>
          <w:lang w:eastAsia="en-US"/>
        </w:rPr>
      </w:pPr>
      <w:r w:rsidRPr="00B23E15">
        <w:rPr>
          <w:rFonts w:asciiTheme="minorHAnsi" w:eastAsiaTheme="minorHAnsi" w:hAnsiTheme="minorHAnsi" w:cstheme="minorBidi"/>
          <w:b/>
          <w:u w:val="single"/>
          <w:lang w:eastAsia="en-US"/>
        </w:rPr>
        <w:t>Glossaire</w:t>
      </w:r>
      <w:r w:rsidR="006569FB" w:rsidRPr="00B23E15">
        <w:rPr>
          <w:rFonts w:asciiTheme="minorHAnsi" w:eastAsiaTheme="minorHAnsi" w:hAnsiTheme="minorHAnsi" w:cstheme="minorBidi"/>
          <w:b/>
          <w:u w:val="single"/>
          <w:lang w:eastAsia="en-US"/>
        </w:rPr>
        <w:t xml:space="preserve"> des indicateurs de la délinquance</w:t>
      </w:r>
      <w:r w:rsidR="00C8305D" w:rsidRPr="00B23E15">
        <w:rPr>
          <w:rFonts w:asciiTheme="minorHAnsi" w:eastAsiaTheme="minorHAnsi" w:hAnsiTheme="minorHAnsi" w:cstheme="minorBidi"/>
          <w:b/>
          <w:u w:val="single"/>
          <w:lang w:eastAsia="en-US"/>
        </w:rPr>
        <w:t xml:space="preserve">: </w:t>
      </w:r>
    </w:p>
    <w:p w14:paraId="6938D050" w14:textId="77777777" w:rsidR="006569FB" w:rsidRPr="00B23E15" w:rsidRDefault="006569FB" w:rsidP="00057435">
      <w:pPr>
        <w:pStyle w:val="NormalWeb"/>
        <w:spacing w:before="0" w:beforeAutospacing="0" w:after="0" w:afterAutospacing="0"/>
        <w:rPr>
          <w:rFonts w:asciiTheme="minorHAnsi" w:eastAsiaTheme="minorHAnsi" w:hAnsiTheme="minorHAnsi" w:cstheme="minorBidi"/>
          <w:lang w:eastAsia="en-US"/>
        </w:rPr>
      </w:pPr>
    </w:p>
    <w:p w14:paraId="3A8B8923" w14:textId="344F9D68" w:rsidR="000A393B" w:rsidRDefault="002F5305" w:rsidP="00057435">
      <w:pPr>
        <w:pStyle w:val="NormalWeb"/>
        <w:spacing w:before="0" w:beforeAutospacing="0" w:after="0" w:afterAutospacing="0"/>
        <w:rPr>
          <w:rFonts w:asciiTheme="minorHAnsi" w:eastAsiaTheme="minorHAnsi" w:hAnsiTheme="minorHAnsi" w:cstheme="minorBidi"/>
          <w:b/>
          <w:u w:val="single"/>
          <w:lang w:eastAsia="en-US"/>
        </w:rPr>
      </w:pPr>
      <w:r w:rsidRPr="00135FE0">
        <w:rPr>
          <w:rFonts w:asciiTheme="minorHAnsi" w:eastAsiaTheme="minorHAnsi" w:hAnsiTheme="minorHAnsi" w:cstheme="minorBidi"/>
          <w:lang w:eastAsia="en-US"/>
        </w:rPr>
        <w:t>https://www.interieur.gouv.fr/Interstats/Actualites/Insecurite-et-delinquance-en-2023-bilan-statistique</w:t>
      </w:r>
      <w:r w:rsidRPr="00B23E15">
        <w:rPr>
          <w:rFonts w:asciiTheme="minorHAnsi" w:eastAsiaTheme="minorHAnsi" w:hAnsiTheme="minorHAnsi" w:cstheme="minorBidi"/>
          <w:lang w:eastAsia="en-US"/>
        </w:rPr>
        <w:t xml:space="preserve"> (partie Définitions)</w:t>
      </w:r>
    </w:p>
    <w:p w14:paraId="1AB38896" w14:textId="77777777" w:rsidR="00932690" w:rsidRPr="00A433C6" w:rsidRDefault="00932690" w:rsidP="00057435">
      <w:pPr>
        <w:pStyle w:val="NormalWeb"/>
        <w:spacing w:before="0" w:beforeAutospacing="0" w:after="0" w:afterAutospacing="0"/>
        <w:rPr>
          <w:rFonts w:asciiTheme="minorHAnsi" w:eastAsiaTheme="minorHAnsi" w:hAnsiTheme="minorHAnsi" w:cstheme="minorBidi"/>
          <w:b/>
          <w:u w:val="single"/>
          <w:lang w:eastAsia="en-US"/>
        </w:rPr>
      </w:pPr>
    </w:p>
    <w:p w14:paraId="6D1677DB" w14:textId="4B7EDB97" w:rsidR="00B23E15" w:rsidRPr="00B23E15" w:rsidRDefault="00B23E15" w:rsidP="00B23E15">
      <w:pPr>
        <w:pStyle w:val="NormalWeb"/>
        <w:spacing w:before="0" w:beforeAutospacing="0" w:after="0" w:afterAutospacing="0"/>
        <w:jc w:val="both"/>
        <w:rPr>
          <w:rFonts w:asciiTheme="minorHAnsi" w:eastAsiaTheme="minorHAnsi" w:hAnsiTheme="minorHAnsi" w:cstheme="minorBidi"/>
          <w:b/>
          <w:u w:val="single"/>
          <w:lang w:eastAsia="en-US"/>
        </w:rPr>
      </w:pPr>
      <w:r w:rsidRPr="00B23E15">
        <w:rPr>
          <w:rFonts w:asciiTheme="minorHAnsi" w:eastAsiaTheme="minorHAnsi" w:hAnsiTheme="minorHAnsi" w:cstheme="minorBidi"/>
          <w:b/>
          <w:u w:val="single"/>
          <w:lang w:eastAsia="en-US"/>
        </w:rPr>
        <w:t xml:space="preserve">Définitions </w:t>
      </w:r>
      <w:r>
        <w:rPr>
          <w:rFonts w:asciiTheme="minorHAnsi" w:eastAsiaTheme="minorHAnsi" w:hAnsiTheme="minorHAnsi" w:cstheme="minorBidi"/>
          <w:b/>
          <w:u w:val="single"/>
          <w:lang w:eastAsia="en-US"/>
        </w:rPr>
        <w:t xml:space="preserve">complémentaires </w:t>
      </w:r>
      <w:r w:rsidRPr="00B23E15">
        <w:rPr>
          <w:rFonts w:asciiTheme="minorHAnsi" w:eastAsiaTheme="minorHAnsi" w:hAnsiTheme="minorHAnsi" w:cstheme="minorBidi"/>
          <w:b/>
          <w:u w:val="single"/>
          <w:lang w:eastAsia="en-US"/>
        </w:rPr>
        <w:t>sur le site de l’Insee de termes géographiques (zonages administratifs, d’étude...) :</w:t>
      </w:r>
    </w:p>
    <w:p w14:paraId="0D37F437" w14:textId="77777777" w:rsidR="00135FE0" w:rsidRDefault="00135FE0" w:rsidP="00B23E15">
      <w:pPr>
        <w:pStyle w:val="NormalWeb"/>
        <w:spacing w:before="0" w:beforeAutospacing="0" w:after="0" w:afterAutospacing="0"/>
        <w:jc w:val="both"/>
        <w:rPr>
          <w:rFonts w:asciiTheme="minorHAnsi" w:eastAsiaTheme="minorHAnsi" w:hAnsiTheme="minorHAnsi" w:cstheme="minorBidi"/>
          <w:lang w:eastAsia="en-US"/>
        </w:rPr>
      </w:pPr>
    </w:p>
    <w:p w14:paraId="1201008D" w14:textId="6B7F8E52" w:rsidR="00B23E15" w:rsidRPr="00D13DF8" w:rsidRDefault="00B23E15" w:rsidP="00B23E15">
      <w:pPr>
        <w:pStyle w:val="NormalWeb"/>
        <w:spacing w:before="0" w:beforeAutospacing="0" w:after="0" w:afterAutospacing="0"/>
        <w:jc w:val="both"/>
        <w:rPr>
          <w:rFonts w:asciiTheme="minorHAnsi" w:eastAsiaTheme="minorHAnsi" w:hAnsiTheme="minorHAnsi" w:cstheme="minorBidi"/>
          <w:lang w:eastAsia="en-US"/>
        </w:rPr>
      </w:pPr>
      <w:r w:rsidRPr="00135FE0">
        <w:rPr>
          <w:rFonts w:asciiTheme="minorHAnsi" w:eastAsiaTheme="minorHAnsi" w:hAnsiTheme="minorHAnsi" w:cstheme="minorBidi"/>
          <w:lang w:eastAsia="en-US"/>
        </w:rPr>
        <w:t>https://www.insee.fr/fr/information/6436991</w:t>
      </w:r>
      <w:r>
        <w:rPr>
          <w:rFonts w:asciiTheme="minorHAnsi" w:eastAsiaTheme="minorHAnsi" w:hAnsiTheme="minorHAnsi" w:cstheme="minorBidi"/>
          <w:lang w:eastAsia="en-US"/>
        </w:rPr>
        <w:t xml:space="preserve"> </w:t>
      </w:r>
    </w:p>
    <w:p w14:paraId="0778B74E" w14:textId="77777777" w:rsidR="00932690" w:rsidRPr="00932690" w:rsidRDefault="00932690" w:rsidP="00932690">
      <w:pPr>
        <w:pStyle w:val="NormalWeb"/>
        <w:spacing w:before="0" w:beforeAutospacing="0" w:after="0" w:afterAutospacing="0"/>
        <w:rPr>
          <w:rFonts w:asciiTheme="minorHAnsi" w:eastAsiaTheme="minorHAnsi" w:hAnsiTheme="minorHAnsi" w:cstheme="minorBidi"/>
          <w:lang w:eastAsia="en-US"/>
        </w:rPr>
      </w:pPr>
    </w:p>
    <w:sectPr w:rsidR="00932690" w:rsidRPr="00932690">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7EE7BE" w14:textId="77777777" w:rsidR="00746EBC" w:rsidRDefault="00746EBC" w:rsidP="00DE2CE2">
      <w:pPr>
        <w:spacing w:after="0" w:line="240" w:lineRule="auto"/>
      </w:pPr>
      <w:r>
        <w:separator/>
      </w:r>
    </w:p>
  </w:endnote>
  <w:endnote w:type="continuationSeparator" w:id="0">
    <w:p w14:paraId="7C14905E" w14:textId="77777777" w:rsidR="00746EBC" w:rsidRDefault="00746EBC" w:rsidP="00DE2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Linotype-Roman">
    <w:altName w:val="Times New Roman"/>
    <w:panose1 w:val="00000000000000000000"/>
    <w:charset w:val="00"/>
    <w:family w:val="roman"/>
    <w:notTrueType/>
    <w:pitch w:val="default"/>
  </w:font>
  <w:font w:name="PalatinoLinotype-Italic">
    <w:altName w:val="Times New Roman"/>
    <w:panose1 w:val="00000000000000000000"/>
    <w:charset w:val="00"/>
    <w:family w:val="roman"/>
    <w:notTrueType/>
    <w:pitch w:val="default"/>
  </w:font>
  <w:font w:name="PalatinoLinotype-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881275" w14:textId="77777777" w:rsidR="00746EBC" w:rsidRDefault="00746EBC" w:rsidP="00DE2CE2">
      <w:pPr>
        <w:spacing w:after="0" w:line="240" w:lineRule="auto"/>
      </w:pPr>
      <w:r>
        <w:separator/>
      </w:r>
    </w:p>
  </w:footnote>
  <w:footnote w:type="continuationSeparator" w:id="0">
    <w:p w14:paraId="399B5201" w14:textId="77777777" w:rsidR="00746EBC" w:rsidRDefault="00746EBC" w:rsidP="00DE2CE2">
      <w:pPr>
        <w:spacing w:after="0" w:line="240" w:lineRule="auto"/>
      </w:pPr>
      <w:r>
        <w:continuationSeparator/>
      </w:r>
    </w:p>
  </w:footnote>
  <w:footnote w:id="1">
    <w:p w14:paraId="74FBA1CB" w14:textId="629BD338" w:rsidR="00DE2CE2" w:rsidRDefault="00DE2CE2">
      <w:pPr>
        <w:pStyle w:val="Notedebasdepage"/>
      </w:pPr>
      <w:r>
        <w:rPr>
          <w:rStyle w:val="Appelnotedebasdep"/>
        </w:rPr>
        <w:footnoteRef/>
      </w:r>
      <w:r>
        <w:t xml:space="preserve"> </w:t>
      </w:r>
      <w:r w:rsidR="0082753E" w:rsidRPr="0082753E">
        <w:t>https://www.insee.fr/fr/information/7671844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C02F5"/>
    <w:multiLevelType w:val="hybridMultilevel"/>
    <w:tmpl w:val="0B08A17A"/>
    <w:lvl w:ilvl="0" w:tplc="E064F546">
      <w:start w:val="11"/>
      <w:numFmt w:val="bullet"/>
      <w:lvlText w:val="-"/>
      <w:lvlJc w:val="left"/>
      <w:pPr>
        <w:ind w:left="720" w:hanging="360"/>
      </w:pPr>
      <w:rPr>
        <w:rFonts w:ascii="Calibri" w:eastAsiaTheme="minorHAnsi" w:hAnsi="Calibri" w:cs="Calibr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BB4052"/>
    <w:multiLevelType w:val="hybridMultilevel"/>
    <w:tmpl w:val="8F3A18C4"/>
    <w:lvl w:ilvl="0" w:tplc="C868CD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DB0E41"/>
    <w:multiLevelType w:val="hybridMultilevel"/>
    <w:tmpl w:val="6D4C5866"/>
    <w:lvl w:ilvl="0" w:tplc="AD76FB9E">
      <w:start w:val="11"/>
      <w:numFmt w:val="bullet"/>
      <w:lvlText w:val="-"/>
      <w:lvlJc w:val="left"/>
      <w:pPr>
        <w:ind w:left="720" w:hanging="360"/>
      </w:pPr>
      <w:rPr>
        <w:rFonts w:ascii="Calibri" w:eastAsiaTheme="minorHAnsi" w:hAnsi="Calibri" w:cs="Calibr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5B253D"/>
    <w:multiLevelType w:val="hybridMultilevel"/>
    <w:tmpl w:val="FFF0264A"/>
    <w:lvl w:ilvl="0" w:tplc="4796B4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086946"/>
    <w:multiLevelType w:val="hybridMultilevel"/>
    <w:tmpl w:val="FCE81E76"/>
    <w:lvl w:ilvl="0" w:tplc="A00A328A">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E2C0B14"/>
    <w:multiLevelType w:val="hybridMultilevel"/>
    <w:tmpl w:val="7BB2B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E95D39"/>
    <w:multiLevelType w:val="hybridMultilevel"/>
    <w:tmpl w:val="3DD2051C"/>
    <w:lvl w:ilvl="0" w:tplc="A00A328A">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6B01FD9"/>
    <w:multiLevelType w:val="hybridMultilevel"/>
    <w:tmpl w:val="A8925602"/>
    <w:lvl w:ilvl="0" w:tplc="592C52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81B71B8"/>
    <w:multiLevelType w:val="hybridMultilevel"/>
    <w:tmpl w:val="31B69CF0"/>
    <w:lvl w:ilvl="0" w:tplc="A00A328A">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2"/>
  </w:num>
  <w:num w:numId="5">
    <w:abstractNumId w:val="0"/>
  </w:num>
  <w:num w:numId="6">
    <w:abstractNumId w:val="8"/>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102"/>
    <w:rsid w:val="00000972"/>
    <w:rsid w:val="000123CD"/>
    <w:rsid w:val="00024EFE"/>
    <w:rsid w:val="00031804"/>
    <w:rsid w:val="00034F69"/>
    <w:rsid w:val="000354C3"/>
    <w:rsid w:val="00036447"/>
    <w:rsid w:val="00042B30"/>
    <w:rsid w:val="00043AD6"/>
    <w:rsid w:val="00054001"/>
    <w:rsid w:val="00057435"/>
    <w:rsid w:val="00057440"/>
    <w:rsid w:val="00063AD5"/>
    <w:rsid w:val="00077A95"/>
    <w:rsid w:val="000A393B"/>
    <w:rsid w:val="000A589C"/>
    <w:rsid w:val="000C15D2"/>
    <w:rsid w:val="000D0CA5"/>
    <w:rsid w:val="00104809"/>
    <w:rsid w:val="00112234"/>
    <w:rsid w:val="00115844"/>
    <w:rsid w:val="001209ED"/>
    <w:rsid w:val="00123C12"/>
    <w:rsid w:val="00125DF8"/>
    <w:rsid w:val="00135FE0"/>
    <w:rsid w:val="00136276"/>
    <w:rsid w:val="0015097C"/>
    <w:rsid w:val="001539C5"/>
    <w:rsid w:val="001560AA"/>
    <w:rsid w:val="00164710"/>
    <w:rsid w:val="001651EB"/>
    <w:rsid w:val="00170C04"/>
    <w:rsid w:val="001720C3"/>
    <w:rsid w:val="00173B66"/>
    <w:rsid w:val="00177440"/>
    <w:rsid w:val="00183958"/>
    <w:rsid w:val="00196B2E"/>
    <w:rsid w:val="001B7579"/>
    <w:rsid w:val="001D1B7D"/>
    <w:rsid w:val="001D26DD"/>
    <w:rsid w:val="001E5FDA"/>
    <w:rsid w:val="001F0B95"/>
    <w:rsid w:val="002069B6"/>
    <w:rsid w:val="0021659F"/>
    <w:rsid w:val="00222983"/>
    <w:rsid w:val="00224B4F"/>
    <w:rsid w:val="002377B9"/>
    <w:rsid w:val="00237E30"/>
    <w:rsid w:val="00243323"/>
    <w:rsid w:val="002476A0"/>
    <w:rsid w:val="00253C42"/>
    <w:rsid w:val="0025617D"/>
    <w:rsid w:val="00265362"/>
    <w:rsid w:val="0026773C"/>
    <w:rsid w:val="00273743"/>
    <w:rsid w:val="00291065"/>
    <w:rsid w:val="002A1AC1"/>
    <w:rsid w:val="002A79E1"/>
    <w:rsid w:val="002B4FCD"/>
    <w:rsid w:val="002B7C16"/>
    <w:rsid w:val="002C2102"/>
    <w:rsid w:val="002D4A1F"/>
    <w:rsid w:val="002D7310"/>
    <w:rsid w:val="002E0811"/>
    <w:rsid w:val="002E5850"/>
    <w:rsid w:val="002F06B2"/>
    <w:rsid w:val="002F5305"/>
    <w:rsid w:val="003014B0"/>
    <w:rsid w:val="00303B05"/>
    <w:rsid w:val="003105CC"/>
    <w:rsid w:val="0032704F"/>
    <w:rsid w:val="00337FAB"/>
    <w:rsid w:val="00345ABA"/>
    <w:rsid w:val="00352A9E"/>
    <w:rsid w:val="003644B4"/>
    <w:rsid w:val="00367E8A"/>
    <w:rsid w:val="0037581C"/>
    <w:rsid w:val="00376A82"/>
    <w:rsid w:val="003930F2"/>
    <w:rsid w:val="003944EE"/>
    <w:rsid w:val="003A5DCE"/>
    <w:rsid w:val="003D26D4"/>
    <w:rsid w:val="003D2CD7"/>
    <w:rsid w:val="003D3B64"/>
    <w:rsid w:val="003D4E01"/>
    <w:rsid w:val="003E10DE"/>
    <w:rsid w:val="003E5BC5"/>
    <w:rsid w:val="003F1428"/>
    <w:rsid w:val="003F4D64"/>
    <w:rsid w:val="00400364"/>
    <w:rsid w:val="00401254"/>
    <w:rsid w:val="004164A2"/>
    <w:rsid w:val="004209F6"/>
    <w:rsid w:val="00422AAE"/>
    <w:rsid w:val="0042367B"/>
    <w:rsid w:val="00426F47"/>
    <w:rsid w:val="00440D85"/>
    <w:rsid w:val="00443ADD"/>
    <w:rsid w:val="00466118"/>
    <w:rsid w:val="00475F09"/>
    <w:rsid w:val="00481BDE"/>
    <w:rsid w:val="004A19F6"/>
    <w:rsid w:val="004B51E3"/>
    <w:rsid w:val="004B63C4"/>
    <w:rsid w:val="004C776A"/>
    <w:rsid w:val="004C7A3D"/>
    <w:rsid w:val="004F1FF6"/>
    <w:rsid w:val="004F31DE"/>
    <w:rsid w:val="00513DEE"/>
    <w:rsid w:val="005211D0"/>
    <w:rsid w:val="00526B12"/>
    <w:rsid w:val="00554DF9"/>
    <w:rsid w:val="00560A7B"/>
    <w:rsid w:val="00570C3F"/>
    <w:rsid w:val="0059136F"/>
    <w:rsid w:val="005A390C"/>
    <w:rsid w:val="005B711A"/>
    <w:rsid w:val="005C17BB"/>
    <w:rsid w:val="005D4CA8"/>
    <w:rsid w:val="005E317D"/>
    <w:rsid w:val="005F1569"/>
    <w:rsid w:val="005F3947"/>
    <w:rsid w:val="005F6967"/>
    <w:rsid w:val="005F7726"/>
    <w:rsid w:val="006035E3"/>
    <w:rsid w:val="00605A42"/>
    <w:rsid w:val="00621A4F"/>
    <w:rsid w:val="00624857"/>
    <w:rsid w:val="00632BE8"/>
    <w:rsid w:val="006569FB"/>
    <w:rsid w:val="00661E59"/>
    <w:rsid w:val="00673F91"/>
    <w:rsid w:val="006824F8"/>
    <w:rsid w:val="006845AC"/>
    <w:rsid w:val="00686967"/>
    <w:rsid w:val="00696FB1"/>
    <w:rsid w:val="006B3BF2"/>
    <w:rsid w:val="006B6D99"/>
    <w:rsid w:val="006C28BC"/>
    <w:rsid w:val="006C7166"/>
    <w:rsid w:val="006E3ACE"/>
    <w:rsid w:val="006E4B75"/>
    <w:rsid w:val="006F2B42"/>
    <w:rsid w:val="006F441A"/>
    <w:rsid w:val="006F7B50"/>
    <w:rsid w:val="007041FE"/>
    <w:rsid w:val="00704DD3"/>
    <w:rsid w:val="00722FFE"/>
    <w:rsid w:val="00723788"/>
    <w:rsid w:val="0073157D"/>
    <w:rsid w:val="00741B80"/>
    <w:rsid w:val="00746EBC"/>
    <w:rsid w:val="007516BF"/>
    <w:rsid w:val="007548AE"/>
    <w:rsid w:val="00763C13"/>
    <w:rsid w:val="00764FEB"/>
    <w:rsid w:val="00777634"/>
    <w:rsid w:val="00785E53"/>
    <w:rsid w:val="007A1804"/>
    <w:rsid w:val="007A5FAC"/>
    <w:rsid w:val="007B09DF"/>
    <w:rsid w:val="007B6F38"/>
    <w:rsid w:val="007C10E9"/>
    <w:rsid w:val="007C6895"/>
    <w:rsid w:val="007D2265"/>
    <w:rsid w:val="007E57F7"/>
    <w:rsid w:val="007F6824"/>
    <w:rsid w:val="0080375A"/>
    <w:rsid w:val="00812A03"/>
    <w:rsid w:val="00825F9B"/>
    <w:rsid w:val="0082745C"/>
    <w:rsid w:val="0082753E"/>
    <w:rsid w:val="00827580"/>
    <w:rsid w:val="008319DA"/>
    <w:rsid w:val="0083401B"/>
    <w:rsid w:val="00846003"/>
    <w:rsid w:val="00850D0E"/>
    <w:rsid w:val="00852E91"/>
    <w:rsid w:val="008533A8"/>
    <w:rsid w:val="00853AF3"/>
    <w:rsid w:val="00857DA2"/>
    <w:rsid w:val="00864890"/>
    <w:rsid w:val="008652E8"/>
    <w:rsid w:val="00877FCC"/>
    <w:rsid w:val="00880790"/>
    <w:rsid w:val="00885D6B"/>
    <w:rsid w:val="00887926"/>
    <w:rsid w:val="008954DA"/>
    <w:rsid w:val="008A3742"/>
    <w:rsid w:val="008A6372"/>
    <w:rsid w:val="008B0695"/>
    <w:rsid w:val="008B40BD"/>
    <w:rsid w:val="008D3BAC"/>
    <w:rsid w:val="00904AFF"/>
    <w:rsid w:val="009113E1"/>
    <w:rsid w:val="00911A19"/>
    <w:rsid w:val="009205A7"/>
    <w:rsid w:val="00931140"/>
    <w:rsid w:val="00932690"/>
    <w:rsid w:val="00934E87"/>
    <w:rsid w:val="00935F02"/>
    <w:rsid w:val="00944D6B"/>
    <w:rsid w:val="00946BFC"/>
    <w:rsid w:val="00947E5F"/>
    <w:rsid w:val="00952417"/>
    <w:rsid w:val="00953C7F"/>
    <w:rsid w:val="00953FD6"/>
    <w:rsid w:val="009650B2"/>
    <w:rsid w:val="009874CF"/>
    <w:rsid w:val="00990BAD"/>
    <w:rsid w:val="00991E1C"/>
    <w:rsid w:val="0099516A"/>
    <w:rsid w:val="009D0D03"/>
    <w:rsid w:val="009D2AE8"/>
    <w:rsid w:val="009D45BD"/>
    <w:rsid w:val="009E2A29"/>
    <w:rsid w:val="00A072E4"/>
    <w:rsid w:val="00A07E32"/>
    <w:rsid w:val="00A22A03"/>
    <w:rsid w:val="00A23FFF"/>
    <w:rsid w:val="00A32AB1"/>
    <w:rsid w:val="00A3791B"/>
    <w:rsid w:val="00A433C6"/>
    <w:rsid w:val="00A7132F"/>
    <w:rsid w:val="00A7153D"/>
    <w:rsid w:val="00A755A0"/>
    <w:rsid w:val="00A80484"/>
    <w:rsid w:val="00A86D5A"/>
    <w:rsid w:val="00A86DAD"/>
    <w:rsid w:val="00A86F94"/>
    <w:rsid w:val="00A872EA"/>
    <w:rsid w:val="00A91247"/>
    <w:rsid w:val="00AA0943"/>
    <w:rsid w:val="00AB5232"/>
    <w:rsid w:val="00AC4867"/>
    <w:rsid w:val="00AD3D49"/>
    <w:rsid w:val="00AD7E87"/>
    <w:rsid w:val="00AD7F6C"/>
    <w:rsid w:val="00AE6368"/>
    <w:rsid w:val="00B013D4"/>
    <w:rsid w:val="00B128CF"/>
    <w:rsid w:val="00B23E15"/>
    <w:rsid w:val="00B62043"/>
    <w:rsid w:val="00B77C25"/>
    <w:rsid w:val="00BA1059"/>
    <w:rsid w:val="00BA1731"/>
    <w:rsid w:val="00BA485E"/>
    <w:rsid w:val="00BA755C"/>
    <w:rsid w:val="00BB02A3"/>
    <w:rsid w:val="00BD4BE5"/>
    <w:rsid w:val="00BE3FB1"/>
    <w:rsid w:val="00BF119A"/>
    <w:rsid w:val="00BF6E9C"/>
    <w:rsid w:val="00C02D8C"/>
    <w:rsid w:val="00C10F32"/>
    <w:rsid w:val="00C2251C"/>
    <w:rsid w:val="00C25502"/>
    <w:rsid w:val="00C46C3A"/>
    <w:rsid w:val="00C60C25"/>
    <w:rsid w:val="00C62B0F"/>
    <w:rsid w:val="00C80566"/>
    <w:rsid w:val="00C8305D"/>
    <w:rsid w:val="00CA391D"/>
    <w:rsid w:val="00CB392D"/>
    <w:rsid w:val="00CD1419"/>
    <w:rsid w:val="00CD7AEE"/>
    <w:rsid w:val="00CE2F30"/>
    <w:rsid w:val="00CE378D"/>
    <w:rsid w:val="00CE3AB3"/>
    <w:rsid w:val="00CE6C34"/>
    <w:rsid w:val="00CF2543"/>
    <w:rsid w:val="00CF39DC"/>
    <w:rsid w:val="00D0024E"/>
    <w:rsid w:val="00D05433"/>
    <w:rsid w:val="00D13AB9"/>
    <w:rsid w:val="00D13DF8"/>
    <w:rsid w:val="00D2217A"/>
    <w:rsid w:val="00D325C6"/>
    <w:rsid w:val="00D3408D"/>
    <w:rsid w:val="00D350ED"/>
    <w:rsid w:val="00D35D34"/>
    <w:rsid w:val="00D35F7C"/>
    <w:rsid w:val="00D4112D"/>
    <w:rsid w:val="00D449F1"/>
    <w:rsid w:val="00D4567B"/>
    <w:rsid w:val="00D4788A"/>
    <w:rsid w:val="00D54086"/>
    <w:rsid w:val="00D60A51"/>
    <w:rsid w:val="00D61AE0"/>
    <w:rsid w:val="00D63632"/>
    <w:rsid w:val="00D66BD2"/>
    <w:rsid w:val="00D72672"/>
    <w:rsid w:val="00D7322E"/>
    <w:rsid w:val="00D8161F"/>
    <w:rsid w:val="00DA48DA"/>
    <w:rsid w:val="00DC7D45"/>
    <w:rsid w:val="00DD1C8E"/>
    <w:rsid w:val="00DE2CE2"/>
    <w:rsid w:val="00DE4483"/>
    <w:rsid w:val="00DF4909"/>
    <w:rsid w:val="00DF5FC8"/>
    <w:rsid w:val="00E00161"/>
    <w:rsid w:val="00E0184F"/>
    <w:rsid w:val="00E0536C"/>
    <w:rsid w:val="00E07015"/>
    <w:rsid w:val="00E07CF1"/>
    <w:rsid w:val="00E1446B"/>
    <w:rsid w:val="00E15D4B"/>
    <w:rsid w:val="00E21080"/>
    <w:rsid w:val="00E306B9"/>
    <w:rsid w:val="00E339A2"/>
    <w:rsid w:val="00E3561A"/>
    <w:rsid w:val="00E47BCC"/>
    <w:rsid w:val="00E72014"/>
    <w:rsid w:val="00E7514D"/>
    <w:rsid w:val="00E76CA1"/>
    <w:rsid w:val="00E91ABF"/>
    <w:rsid w:val="00E92BD7"/>
    <w:rsid w:val="00EA08FE"/>
    <w:rsid w:val="00EA5DF9"/>
    <w:rsid w:val="00EC63F3"/>
    <w:rsid w:val="00EC6703"/>
    <w:rsid w:val="00EE2200"/>
    <w:rsid w:val="00EE6BB6"/>
    <w:rsid w:val="00EF47EB"/>
    <w:rsid w:val="00F039B7"/>
    <w:rsid w:val="00F04D10"/>
    <w:rsid w:val="00F063BB"/>
    <w:rsid w:val="00F20B65"/>
    <w:rsid w:val="00F2325A"/>
    <w:rsid w:val="00F235FF"/>
    <w:rsid w:val="00F24F20"/>
    <w:rsid w:val="00F26061"/>
    <w:rsid w:val="00F26220"/>
    <w:rsid w:val="00F26C6B"/>
    <w:rsid w:val="00F26FC9"/>
    <w:rsid w:val="00F32302"/>
    <w:rsid w:val="00F400EE"/>
    <w:rsid w:val="00F43916"/>
    <w:rsid w:val="00F4513E"/>
    <w:rsid w:val="00F5043D"/>
    <w:rsid w:val="00F5079A"/>
    <w:rsid w:val="00F62DA9"/>
    <w:rsid w:val="00F65976"/>
    <w:rsid w:val="00F73FF0"/>
    <w:rsid w:val="00F76765"/>
    <w:rsid w:val="00F76C44"/>
    <w:rsid w:val="00F771D1"/>
    <w:rsid w:val="00F8292E"/>
    <w:rsid w:val="00F8558A"/>
    <w:rsid w:val="00F908AA"/>
    <w:rsid w:val="00FA147A"/>
    <w:rsid w:val="00FA7202"/>
    <w:rsid w:val="00FB3881"/>
    <w:rsid w:val="00FC0697"/>
    <w:rsid w:val="00FC2812"/>
    <w:rsid w:val="00FD0C9C"/>
    <w:rsid w:val="00FD2A7D"/>
    <w:rsid w:val="00FE26D6"/>
    <w:rsid w:val="00FF4A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B947F"/>
  <w15:chartTrackingRefBased/>
  <w15:docId w15:val="{897E198C-9224-4D40-893E-316DF932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605A42"/>
    <w:pPr>
      <w:autoSpaceDE w:val="0"/>
      <w:autoSpaceDN w:val="0"/>
      <w:adjustRightInd w:val="0"/>
      <w:spacing w:after="0" w:line="240" w:lineRule="auto"/>
    </w:pPr>
    <w:rPr>
      <w:rFonts w:ascii="Palatino Linotype" w:hAnsi="Palatino Linotype" w:cs="Palatino Linotype"/>
      <w:color w:val="000000"/>
      <w:sz w:val="24"/>
      <w:szCs w:val="24"/>
    </w:rPr>
  </w:style>
  <w:style w:type="character" w:customStyle="1" w:styleId="A0">
    <w:name w:val="A0"/>
    <w:uiPriority w:val="99"/>
    <w:rsid w:val="00605A42"/>
    <w:rPr>
      <w:rFonts w:cs="Palatino Linotype"/>
      <w:b/>
      <w:bCs/>
      <w:color w:val="000000"/>
      <w:sz w:val="20"/>
      <w:szCs w:val="20"/>
    </w:rPr>
  </w:style>
  <w:style w:type="paragraph" w:customStyle="1" w:styleId="Pa1">
    <w:name w:val="Pa1"/>
    <w:basedOn w:val="Default"/>
    <w:next w:val="Default"/>
    <w:uiPriority w:val="99"/>
    <w:rsid w:val="00605A42"/>
    <w:pPr>
      <w:spacing w:line="191" w:lineRule="atLeast"/>
    </w:pPr>
    <w:rPr>
      <w:rFonts w:cstheme="minorBidi"/>
      <w:color w:val="auto"/>
    </w:rPr>
  </w:style>
  <w:style w:type="character" w:customStyle="1" w:styleId="A1">
    <w:name w:val="A1"/>
    <w:uiPriority w:val="99"/>
    <w:rsid w:val="00605A42"/>
    <w:rPr>
      <w:rFonts w:cs="Palatino Linotype"/>
      <w:i/>
      <w:iCs/>
      <w:color w:val="000000"/>
      <w:sz w:val="19"/>
      <w:szCs w:val="19"/>
      <w:u w:val="single"/>
    </w:rPr>
  </w:style>
  <w:style w:type="character" w:customStyle="1" w:styleId="A2">
    <w:name w:val="A2"/>
    <w:uiPriority w:val="99"/>
    <w:rsid w:val="00605A42"/>
    <w:rPr>
      <w:rFonts w:cs="Palatino Linotype"/>
      <w:color w:val="000000"/>
      <w:sz w:val="19"/>
      <w:szCs w:val="19"/>
    </w:rPr>
  </w:style>
  <w:style w:type="paragraph" w:customStyle="1" w:styleId="Pa7">
    <w:name w:val="Pa7"/>
    <w:basedOn w:val="Default"/>
    <w:next w:val="Default"/>
    <w:uiPriority w:val="99"/>
    <w:rsid w:val="00605A42"/>
    <w:pPr>
      <w:spacing w:line="191" w:lineRule="atLeast"/>
    </w:pPr>
    <w:rPr>
      <w:rFonts w:cstheme="minorBidi"/>
      <w:color w:val="auto"/>
    </w:rPr>
  </w:style>
  <w:style w:type="paragraph" w:customStyle="1" w:styleId="Pa10">
    <w:name w:val="Pa10"/>
    <w:basedOn w:val="Default"/>
    <w:next w:val="Default"/>
    <w:uiPriority w:val="99"/>
    <w:rsid w:val="00605A42"/>
    <w:pPr>
      <w:spacing w:line="191" w:lineRule="atLeast"/>
    </w:pPr>
    <w:rPr>
      <w:rFonts w:cstheme="minorBidi"/>
      <w:color w:val="auto"/>
    </w:rPr>
  </w:style>
  <w:style w:type="character" w:customStyle="1" w:styleId="A4">
    <w:name w:val="A4"/>
    <w:uiPriority w:val="99"/>
    <w:rsid w:val="00605A42"/>
    <w:rPr>
      <w:rFonts w:cs="Palatino Linotype"/>
      <w:color w:val="000000"/>
      <w:sz w:val="11"/>
      <w:szCs w:val="11"/>
    </w:rPr>
  </w:style>
  <w:style w:type="character" w:customStyle="1" w:styleId="A5">
    <w:name w:val="A5"/>
    <w:uiPriority w:val="99"/>
    <w:rsid w:val="00605A42"/>
    <w:rPr>
      <w:rFonts w:cs="Palatino Linotype"/>
      <w:color w:val="000000"/>
      <w:sz w:val="11"/>
      <w:szCs w:val="11"/>
    </w:rPr>
  </w:style>
  <w:style w:type="character" w:styleId="Lienhypertexte">
    <w:name w:val="Hyperlink"/>
    <w:basedOn w:val="Policepardfaut"/>
    <w:uiPriority w:val="99"/>
    <w:unhideWhenUsed/>
    <w:rsid w:val="00000972"/>
    <w:rPr>
      <w:color w:val="0000FF"/>
      <w:u w:val="single"/>
    </w:rPr>
  </w:style>
  <w:style w:type="character" w:styleId="Marquedecommentaire">
    <w:name w:val="annotation reference"/>
    <w:basedOn w:val="Policepardfaut"/>
    <w:uiPriority w:val="99"/>
    <w:semiHidden/>
    <w:unhideWhenUsed/>
    <w:rsid w:val="00BF119A"/>
    <w:rPr>
      <w:sz w:val="16"/>
      <w:szCs w:val="16"/>
    </w:rPr>
  </w:style>
  <w:style w:type="paragraph" w:styleId="Commentaire">
    <w:name w:val="annotation text"/>
    <w:basedOn w:val="Normal"/>
    <w:link w:val="CommentaireCar"/>
    <w:uiPriority w:val="99"/>
    <w:semiHidden/>
    <w:unhideWhenUsed/>
    <w:rsid w:val="00BF119A"/>
    <w:pPr>
      <w:spacing w:line="240" w:lineRule="auto"/>
    </w:pPr>
    <w:rPr>
      <w:sz w:val="20"/>
      <w:szCs w:val="20"/>
    </w:rPr>
  </w:style>
  <w:style w:type="character" w:customStyle="1" w:styleId="CommentaireCar">
    <w:name w:val="Commentaire Car"/>
    <w:basedOn w:val="Policepardfaut"/>
    <w:link w:val="Commentaire"/>
    <w:uiPriority w:val="99"/>
    <w:semiHidden/>
    <w:rsid w:val="00BF119A"/>
    <w:rPr>
      <w:sz w:val="20"/>
      <w:szCs w:val="20"/>
    </w:rPr>
  </w:style>
  <w:style w:type="paragraph" w:styleId="Objetducommentaire">
    <w:name w:val="annotation subject"/>
    <w:basedOn w:val="Commentaire"/>
    <w:next w:val="Commentaire"/>
    <w:link w:val="ObjetducommentaireCar"/>
    <w:uiPriority w:val="99"/>
    <w:semiHidden/>
    <w:unhideWhenUsed/>
    <w:rsid w:val="00BF119A"/>
    <w:rPr>
      <w:b/>
      <w:bCs/>
    </w:rPr>
  </w:style>
  <w:style w:type="character" w:customStyle="1" w:styleId="ObjetducommentaireCar">
    <w:name w:val="Objet du commentaire Car"/>
    <w:basedOn w:val="CommentaireCar"/>
    <w:link w:val="Objetducommentaire"/>
    <w:uiPriority w:val="99"/>
    <w:semiHidden/>
    <w:rsid w:val="00BF119A"/>
    <w:rPr>
      <w:b/>
      <w:bCs/>
      <w:sz w:val="20"/>
      <w:szCs w:val="20"/>
    </w:rPr>
  </w:style>
  <w:style w:type="paragraph" w:styleId="Textedebulles">
    <w:name w:val="Balloon Text"/>
    <w:basedOn w:val="Normal"/>
    <w:link w:val="TextedebullesCar"/>
    <w:uiPriority w:val="99"/>
    <w:semiHidden/>
    <w:unhideWhenUsed/>
    <w:rsid w:val="00BF119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F119A"/>
    <w:rPr>
      <w:rFonts w:ascii="Segoe UI" w:hAnsi="Segoe UI" w:cs="Segoe UI"/>
      <w:sz w:val="18"/>
      <w:szCs w:val="18"/>
    </w:rPr>
  </w:style>
  <w:style w:type="paragraph" w:customStyle="1" w:styleId="Pa6">
    <w:name w:val="Pa6"/>
    <w:basedOn w:val="Default"/>
    <w:next w:val="Default"/>
    <w:uiPriority w:val="99"/>
    <w:rsid w:val="00953C7F"/>
    <w:pPr>
      <w:spacing w:line="191" w:lineRule="atLeast"/>
    </w:pPr>
    <w:rPr>
      <w:rFonts w:cstheme="minorBidi"/>
      <w:color w:val="auto"/>
    </w:rPr>
  </w:style>
  <w:style w:type="paragraph" w:styleId="NormalWeb">
    <w:name w:val="Normal (Web)"/>
    <w:basedOn w:val="Normal"/>
    <w:uiPriority w:val="99"/>
    <w:unhideWhenUsed/>
    <w:rsid w:val="0093114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ontstyle01">
    <w:name w:val="fontstyle01"/>
    <w:basedOn w:val="Policepardfaut"/>
    <w:rsid w:val="00057435"/>
    <w:rPr>
      <w:rFonts w:ascii="PalatinoLinotype-Roman" w:hAnsi="PalatinoLinotype-Roman" w:hint="default"/>
      <w:b w:val="0"/>
      <w:bCs w:val="0"/>
      <w:i w:val="0"/>
      <w:iCs w:val="0"/>
      <w:color w:val="242021"/>
      <w:sz w:val="20"/>
      <w:szCs w:val="20"/>
    </w:rPr>
  </w:style>
  <w:style w:type="character" w:customStyle="1" w:styleId="fontstyle21">
    <w:name w:val="fontstyle21"/>
    <w:basedOn w:val="Policepardfaut"/>
    <w:rsid w:val="00057435"/>
    <w:rPr>
      <w:rFonts w:ascii="PalatinoLinotype-Italic" w:hAnsi="PalatinoLinotype-Italic" w:hint="default"/>
      <w:b w:val="0"/>
      <w:bCs w:val="0"/>
      <w:i/>
      <w:iCs/>
      <w:color w:val="2B59A8"/>
      <w:sz w:val="20"/>
      <w:szCs w:val="20"/>
    </w:rPr>
  </w:style>
  <w:style w:type="character" w:customStyle="1" w:styleId="fontstyle31">
    <w:name w:val="fontstyle31"/>
    <w:basedOn w:val="Policepardfaut"/>
    <w:rsid w:val="00057435"/>
    <w:rPr>
      <w:rFonts w:ascii="PalatinoLinotype-Bold" w:hAnsi="PalatinoLinotype-Bold" w:hint="default"/>
      <w:b/>
      <w:bCs/>
      <w:i w:val="0"/>
      <w:iCs w:val="0"/>
      <w:color w:val="242021"/>
      <w:sz w:val="20"/>
      <w:szCs w:val="20"/>
    </w:rPr>
  </w:style>
  <w:style w:type="paragraph" w:styleId="Corpsdetexte">
    <w:name w:val="Body Text"/>
    <w:basedOn w:val="Normal"/>
    <w:link w:val="CorpsdetexteCar"/>
    <w:qFormat/>
    <w:rsid w:val="003014B0"/>
    <w:pPr>
      <w:spacing w:before="180" w:after="180" w:line="240" w:lineRule="auto"/>
    </w:pPr>
    <w:rPr>
      <w:sz w:val="24"/>
      <w:szCs w:val="24"/>
      <w:lang w:val="en-US"/>
    </w:rPr>
  </w:style>
  <w:style w:type="character" w:customStyle="1" w:styleId="CorpsdetexteCar">
    <w:name w:val="Corps de texte Car"/>
    <w:basedOn w:val="Policepardfaut"/>
    <w:link w:val="Corpsdetexte"/>
    <w:rsid w:val="003014B0"/>
    <w:rPr>
      <w:sz w:val="24"/>
      <w:szCs w:val="24"/>
      <w:lang w:val="en-US"/>
    </w:rPr>
  </w:style>
  <w:style w:type="paragraph" w:customStyle="1" w:styleId="FirstParagraph">
    <w:name w:val="First Paragraph"/>
    <w:basedOn w:val="Corpsdetexte"/>
    <w:next w:val="Corpsdetexte"/>
    <w:qFormat/>
    <w:rsid w:val="003014B0"/>
  </w:style>
  <w:style w:type="paragraph" w:styleId="PrformatHTML">
    <w:name w:val="HTML Preformatted"/>
    <w:basedOn w:val="Normal"/>
    <w:link w:val="PrformatHTMLCar"/>
    <w:uiPriority w:val="99"/>
    <w:unhideWhenUsed/>
    <w:rsid w:val="00591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9136F"/>
    <w:rPr>
      <w:rFonts w:ascii="Courier New" w:eastAsia="Times New Roman" w:hAnsi="Courier New" w:cs="Courier New"/>
      <w:sz w:val="20"/>
      <w:szCs w:val="20"/>
      <w:lang w:eastAsia="fr-FR"/>
    </w:rPr>
  </w:style>
  <w:style w:type="character" w:styleId="Lienhypertextesuivivisit">
    <w:name w:val="FollowedHyperlink"/>
    <w:basedOn w:val="Policepardfaut"/>
    <w:uiPriority w:val="99"/>
    <w:semiHidden/>
    <w:unhideWhenUsed/>
    <w:rsid w:val="001209ED"/>
    <w:rPr>
      <w:color w:val="954F72" w:themeColor="followedHyperlink"/>
      <w:u w:val="single"/>
    </w:rPr>
  </w:style>
  <w:style w:type="paragraph" w:styleId="Notedebasdepage">
    <w:name w:val="footnote text"/>
    <w:basedOn w:val="Normal"/>
    <w:link w:val="NotedebasdepageCar"/>
    <w:uiPriority w:val="99"/>
    <w:semiHidden/>
    <w:unhideWhenUsed/>
    <w:rsid w:val="00DE2CE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E2CE2"/>
    <w:rPr>
      <w:sz w:val="20"/>
      <w:szCs w:val="20"/>
    </w:rPr>
  </w:style>
  <w:style w:type="character" w:styleId="Appelnotedebasdep">
    <w:name w:val="footnote reference"/>
    <w:basedOn w:val="Policepardfaut"/>
    <w:uiPriority w:val="99"/>
    <w:semiHidden/>
    <w:unhideWhenUsed/>
    <w:rsid w:val="00DE2CE2"/>
    <w:rPr>
      <w:vertAlign w:val="superscript"/>
    </w:rPr>
  </w:style>
  <w:style w:type="paragraph" w:styleId="En-tte">
    <w:name w:val="header"/>
    <w:basedOn w:val="Normal"/>
    <w:link w:val="En-tteCar"/>
    <w:uiPriority w:val="99"/>
    <w:unhideWhenUsed/>
    <w:rsid w:val="00D2217A"/>
    <w:pPr>
      <w:tabs>
        <w:tab w:val="center" w:pos="4536"/>
        <w:tab w:val="right" w:pos="9072"/>
      </w:tabs>
      <w:spacing w:after="0" w:line="240" w:lineRule="auto"/>
    </w:pPr>
  </w:style>
  <w:style w:type="character" w:customStyle="1" w:styleId="En-tteCar">
    <w:name w:val="En-tête Car"/>
    <w:basedOn w:val="Policepardfaut"/>
    <w:link w:val="En-tte"/>
    <w:uiPriority w:val="99"/>
    <w:rsid w:val="00D2217A"/>
  </w:style>
  <w:style w:type="paragraph" w:styleId="Pieddepage">
    <w:name w:val="footer"/>
    <w:basedOn w:val="Normal"/>
    <w:link w:val="PieddepageCar"/>
    <w:uiPriority w:val="99"/>
    <w:unhideWhenUsed/>
    <w:rsid w:val="00D221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217A"/>
  </w:style>
  <w:style w:type="table" w:styleId="Grilledutableau">
    <w:name w:val="Table Grid"/>
    <w:basedOn w:val="TableauNormal"/>
    <w:uiPriority w:val="39"/>
    <w:rsid w:val="00F7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63987">
      <w:bodyDiv w:val="1"/>
      <w:marLeft w:val="0"/>
      <w:marRight w:val="0"/>
      <w:marTop w:val="0"/>
      <w:marBottom w:val="0"/>
      <w:divBdr>
        <w:top w:val="none" w:sz="0" w:space="0" w:color="auto"/>
        <w:left w:val="none" w:sz="0" w:space="0" w:color="auto"/>
        <w:bottom w:val="none" w:sz="0" w:space="0" w:color="auto"/>
        <w:right w:val="none" w:sz="0" w:space="0" w:color="auto"/>
      </w:divBdr>
    </w:div>
    <w:div w:id="736130139">
      <w:bodyDiv w:val="1"/>
      <w:marLeft w:val="0"/>
      <w:marRight w:val="0"/>
      <w:marTop w:val="0"/>
      <w:marBottom w:val="0"/>
      <w:divBdr>
        <w:top w:val="none" w:sz="0" w:space="0" w:color="auto"/>
        <w:left w:val="none" w:sz="0" w:space="0" w:color="auto"/>
        <w:bottom w:val="none" w:sz="0" w:space="0" w:color="auto"/>
        <w:right w:val="none" w:sz="0" w:space="0" w:color="auto"/>
      </w:divBdr>
    </w:div>
    <w:div w:id="757484789">
      <w:bodyDiv w:val="1"/>
      <w:marLeft w:val="0"/>
      <w:marRight w:val="0"/>
      <w:marTop w:val="0"/>
      <w:marBottom w:val="0"/>
      <w:divBdr>
        <w:top w:val="none" w:sz="0" w:space="0" w:color="auto"/>
        <w:left w:val="none" w:sz="0" w:space="0" w:color="auto"/>
        <w:bottom w:val="none" w:sz="0" w:space="0" w:color="auto"/>
        <w:right w:val="none" w:sz="0" w:space="0" w:color="auto"/>
      </w:divBdr>
    </w:div>
    <w:div w:id="1195583454">
      <w:bodyDiv w:val="1"/>
      <w:marLeft w:val="0"/>
      <w:marRight w:val="0"/>
      <w:marTop w:val="0"/>
      <w:marBottom w:val="0"/>
      <w:divBdr>
        <w:top w:val="none" w:sz="0" w:space="0" w:color="auto"/>
        <w:left w:val="none" w:sz="0" w:space="0" w:color="auto"/>
        <w:bottom w:val="none" w:sz="0" w:space="0" w:color="auto"/>
        <w:right w:val="none" w:sz="0" w:space="0" w:color="auto"/>
      </w:divBdr>
    </w:div>
    <w:div w:id="1384131695">
      <w:bodyDiv w:val="1"/>
      <w:marLeft w:val="0"/>
      <w:marRight w:val="0"/>
      <w:marTop w:val="0"/>
      <w:marBottom w:val="0"/>
      <w:divBdr>
        <w:top w:val="none" w:sz="0" w:space="0" w:color="auto"/>
        <w:left w:val="none" w:sz="0" w:space="0" w:color="auto"/>
        <w:bottom w:val="none" w:sz="0" w:space="0" w:color="auto"/>
        <w:right w:val="none" w:sz="0" w:space="0" w:color="auto"/>
      </w:divBdr>
    </w:div>
    <w:div w:id="1467818467">
      <w:bodyDiv w:val="1"/>
      <w:marLeft w:val="0"/>
      <w:marRight w:val="0"/>
      <w:marTop w:val="0"/>
      <w:marBottom w:val="0"/>
      <w:divBdr>
        <w:top w:val="none" w:sz="0" w:space="0" w:color="auto"/>
        <w:left w:val="none" w:sz="0" w:space="0" w:color="auto"/>
        <w:bottom w:val="none" w:sz="0" w:space="0" w:color="auto"/>
        <w:right w:val="none" w:sz="0" w:space="0" w:color="auto"/>
      </w:divBdr>
    </w:div>
    <w:div w:id="1678532719">
      <w:bodyDiv w:val="1"/>
      <w:marLeft w:val="0"/>
      <w:marRight w:val="0"/>
      <w:marTop w:val="0"/>
      <w:marBottom w:val="0"/>
      <w:divBdr>
        <w:top w:val="none" w:sz="0" w:space="0" w:color="auto"/>
        <w:left w:val="none" w:sz="0" w:space="0" w:color="auto"/>
        <w:bottom w:val="none" w:sz="0" w:space="0" w:color="auto"/>
        <w:right w:val="none" w:sz="0" w:space="0" w:color="auto"/>
      </w:divBdr>
    </w:div>
    <w:div w:id="1804272415">
      <w:bodyDiv w:val="1"/>
      <w:marLeft w:val="0"/>
      <w:marRight w:val="0"/>
      <w:marTop w:val="0"/>
      <w:marBottom w:val="0"/>
      <w:divBdr>
        <w:top w:val="none" w:sz="0" w:space="0" w:color="auto"/>
        <w:left w:val="none" w:sz="0" w:space="0" w:color="auto"/>
        <w:bottom w:val="none" w:sz="0" w:space="0" w:color="auto"/>
        <w:right w:val="none" w:sz="0" w:space="0" w:color="auto"/>
      </w:divBdr>
    </w:div>
    <w:div w:id="190043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ieur.gouv.fr/Interstats/Metho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terieur.gouv.fr/Interstats/L-enquete-Cadre-de-vie-et-securite-CVS" TargetMode="External"/><Relationship Id="rId5" Type="http://schemas.openxmlformats.org/officeDocument/2006/relationships/webSettings" Target="webSettings.xml"/><Relationship Id="rId10" Type="http://schemas.openxmlformats.org/officeDocument/2006/relationships/hyperlink" Target="https://www.data.gouv.fr/fr/datasets/indicateurs-annuels-de-la-victimation-et-du-sentiment-dinsecurite-issus-des-enquetes-cadre-de-vie-et-securite/" TargetMode="External"/><Relationship Id="rId4" Type="http://schemas.openxmlformats.org/officeDocument/2006/relationships/settings" Target="settings.xml"/><Relationship Id="rId9" Type="http://schemas.openxmlformats.org/officeDocument/2006/relationships/hyperlink" Target="https://www.interieur.gouv.fr/Interstats/Actualites/Geographie-departementale-de-la-delinquance-enregistree-en-2023-Interstats-Analyse-n-6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117A8-4C89-4387-9B3C-EBCF98A14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10</Pages>
  <Words>3229</Words>
  <Characters>17764</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
    </vt:vector>
  </TitlesOfParts>
  <Company>DSIC</Company>
  <LinksUpToDate>false</LinksUpToDate>
  <CharactersWithSpaces>20952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LOQUET Julien</dc:creator>
  <cp:keywords/>
  <dc:description/>
  <cp:lastModifiedBy>GIVOIS Samuel</cp:lastModifiedBy>
  <cp:revision>68</cp:revision>
  <cp:lastPrinted>2021-12-02T09:55:00Z</cp:lastPrinted>
  <dcterms:created xsi:type="dcterms:W3CDTF">2025-01-27T08:57:00Z</dcterms:created>
  <dcterms:modified xsi:type="dcterms:W3CDTF">2025-01-30T15:36:00Z</dcterms:modified>
</cp:coreProperties>
</file>