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drawing>
          <wp:inline xmlns:a="http://schemas.openxmlformats.org/drawingml/2006/main" xmlns:pic="http://schemas.openxmlformats.org/drawingml/2006/picture">
            <wp:extent cx="2286000" cy="797092"/>
            <wp:docPr id="1" name="Picture 1"/>
            <wp:cNvGraphicFramePr>
              <a:graphicFrameLocks noChangeAspect="1"/>
            </wp:cNvGraphicFramePr>
            <a:graphic>
              <a:graphicData uri="http://schemas.openxmlformats.org/drawingml/2006/picture">
                <pic:pic>
                  <pic:nvPicPr>
                    <pic:cNvPr id="0" name="IDFC_FIRST_Bank_logo_exact_enhanced.png"/>
                    <pic:cNvPicPr/>
                  </pic:nvPicPr>
                  <pic:blipFill>
                    <a:blip r:embed="rId11"/>
                    <a:stretch>
                      <a:fillRect/>
                    </a:stretch>
                  </pic:blipFill>
                  <pic:spPr>
                    <a:xfrm>
                      <a:off x="0" y="0"/>
                      <a:ext cx="2286000" cy="797092"/>
                    </a:xfrm>
                    <a:prstGeom prst="rect"/>
                  </pic:spPr>
                </pic:pic>
              </a:graphicData>
            </a:graphic>
          </wp:inline>
        </w:drawing>
      </w:r>
    </w:p>
    <w:p>
      <w:pPr>
        <w:pStyle w:val="Title"/>
        <w:jc w:val="center"/>
      </w:pPr>
      <w:r>
        <w:t>API Platform Technology Architecture,</w:t>
        <w:br/>
        <w:t>Security &amp; Operational Controls</w:t>
      </w:r>
    </w:p>
    <w:p>
      <w:pPr>
        <w:jc w:val="center"/>
      </w:pPr>
      <w:r>
        <w:rPr>
          <w:b/>
          <w:color w:val="333333"/>
          <w:sz w:val="30"/>
        </w:rPr>
        <w:t>RBI / Regulatory Technology Audit Document</w:t>
      </w:r>
    </w:p>
    <w:p>
      <w:pPr>
        <w:spacing w:before="360"/>
        <w:jc w:val="center"/>
      </w:pPr>
      <w:r>
        <w:rPr>
          <w:b/>
          <w:color w:val="A6192E"/>
          <w:sz w:val="24"/>
        </w:rPr>
        <w:t>IDFC FIRST Bank Confidential</w:t>
      </w:r>
    </w:p>
    <w:p>
      <w:pPr>
        <w:spacing w:before="160" w:after="60"/>
      </w:pPr>
      <w:r>
        <w:rPr>
          <w:rFonts w:ascii="Arial" w:hAnsi="Arial"/>
          <w:b/>
          <w:sz w:val="24"/>
        </w:rPr>
        <w:t>Context / Summary</w:t>
      </w:r>
    </w:p>
    <w:p>
      <w:pPr>
        <w:spacing w:after="160" w:line="252" w:lineRule="auto"/>
      </w:pPr>
      <w:r>
        <w:rPr>
          <w:rFonts w:ascii="Arial" w:hAnsi="Arial"/>
          <w:sz w:val="20"/>
        </w:rPr>
        <w:t>This document describes the current API Platform architecture, deployment model, security and operational controls, data flows, and disaster-recovery arrangement for authorised IDFC FIRST Bank internal and RBI audit use.</w:t>
      </w:r>
    </w:p>
    <w:p>
      <w:pPr>
        <w:spacing w:before="60" w:after="80"/>
      </w:pPr>
      <w:r>
        <w:rPr>
          <w:rFonts w:ascii="Arial" w:hAnsi="Arial"/>
          <w:b/>
          <w:sz w:val="24"/>
        </w:rPr>
        <w:t>Document Control</w:t>
      </w:r>
    </w:p>
    <w:tbl>
      <w:tblPr>
        <w:tblStyle w:val="TableGrid"/>
        <w:tblW w:type="auto" w:w="0"/>
        <w:jc w:val="center"/>
        <w:tblLook w:firstColumn="1" w:firstRow="1" w:lastColumn="0" w:lastRow="0" w:noHBand="0" w:noVBand="1" w:val="04A0"/>
      </w:tblPr>
      <w:tblGrid>
        <w:gridCol w:w="2880"/>
        <w:gridCol w:w="6624"/>
      </w:tblGrid>
      <w:tr>
        <w:tc>
          <w:tcPr>
            <w:tcW w:type="dxa" w:w="3168"/>
            <w:vAlign w:val="center"/>
            <w:shd w:fill="A6192E"/>
          </w:tcPr>
          <w:p>
            <w:pPr>
              <w:spacing w:after="0" w:before="0"/>
            </w:pPr>
            <w:r>
              <w:rPr>
                <w:color w:val="FFFFFF"/>
              </w:rPr>
            </w:r>
            <w:r>
              <w:rPr>
                <w:rFonts w:ascii="Arial" w:hAnsi="Arial"/>
                <w:b/>
                <w:color w:val="FFFFFF"/>
                <w:sz w:val="18"/>
              </w:rPr>
              <w:t>Document Name</w:t>
            </w:r>
          </w:p>
        </w:tc>
        <w:tc>
          <w:tcPr>
            <w:tcW w:type="dxa" w:w="6480"/>
            <w:vAlign w:val="center"/>
            <w:shd w:fill="A6192E"/>
          </w:tcPr>
          <w:p>
            <w:pPr>
              <w:spacing w:after="0" w:before="0"/>
            </w:pPr>
            <w:r>
              <w:rPr>
                <w:color w:val="FFFFFF"/>
              </w:rPr>
            </w:r>
            <w:r>
              <w:rPr>
                <w:rFonts w:ascii="Arial" w:hAnsi="Arial"/>
                <w:b/>
                <w:color w:val="FFFFFF"/>
                <w:sz w:val="18"/>
              </w:rPr>
              <w:t>API Platform - Technology Architecture, Security &amp; Operational Controls</w:t>
            </w:r>
          </w:p>
        </w:tc>
      </w:tr>
      <w:tr>
        <w:tc>
          <w:tcPr>
            <w:tcW w:type="dxa" w:w="3168"/>
            <w:vAlign w:val="center"/>
          </w:tcPr>
          <w:p>
            <w:pPr>
              <w:spacing w:after="0" w:before="0"/>
            </w:pPr>
            <w:r/>
            <w:r>
              <w:rPr>
                <w:rFonts w:ascii="Arial" w:hAnsi="Arial"/>
                <w:b w:val="0"/>
                <w:sz w:val="18"/>
              </w:rPr>
              <w:t>Version No.</w:t>
            </w:r>
          </w:p>
        </w:tc>
        <w:tc>
          <w:tcPr>
            <w:tcW w:type="dxa" w:w="6480"/>
            <w:vAlign w:val="center"/>
          </w:tcPr>
          <w:p>
            <w:pPr>
              <w:spacing w:after="0" w:before="0"/>
            </w:pPr>
            <w:r/>
            <w:r>
              <w:rPr>
                <w:rFonts w:ascii="Arial" w:hAnsi="Arial"/>
                <w:b w:val="0"/>
                <w:sz w:val="18"/>
              </w:rPr>
              <w:t>1.0</w:t>
            </w:r>
          </w:p>
        </w:tc>
      </w:tr>
      <w:tr>
        <w:tc>
          <w:tcPr>
            <w:tcW w:type="dxa" w:w="3168"/>
            <w:vAlign w:val="center"/>
            <w:shd w:fill="F4F4F4"/>
          </w:tcPr>
          <w:p>
            <w:pPr>
              <w:spacing w:after="0" w:before="0"/>
            </w:pPr>
            <w:r/>
            <w:r>
              <w:rPr>
                <w:rFonts w:ascii="Arial" w:hAnsi="Arial"/>
                <w:b w:val="0"/>
                <w:sz w:val="18"/>
              </w:rPr>
              <w:t>Release No.</w:t>
            </w:r>
          </w:p>
        </w:tc>
        <w:tc>
          <w:tcPr>
            <w:tcW w:type="dxa" w:w="6480"/>
            <w:vAlign w:val="center"/>
            <w:shd w:fill="F4F4F4"/>
          </w:tcPr>
          <w:p>
            <w:pPr>
              <w:spacing w:after="0" w:before="0"/>
            </w:pPr>
            <w:r/>
            <w:r>
              <w:rPr>
                <w:rFonts w:ascii="Arial" w:hAnsi="Arial"/>
                <w:b w:val="0"/>
                <w:sz w:val="18"/>
              </w:rPr>
              <w:t>1.0</w:t>
            </w:r>
          </w:p>
        </w:tc>
      </w:tr>
      <w:tr>
        <w:tc>
          <w:tcPr>
            <w:tcW w:type="dxa" w:w="3168"/>
            <w:vAlign w:val="center"/>
          </w:tcPr>
          <w:p>
            <w:pPr>
              <w:spacing w:after="0" w:before="0"/>
            </w:pPr>
            <w:r/>
            <w:r>
              <w:rPr>
                <w:rFonts w:ascii="Arial" w:hAnsi="Arial"/>
                <w:b w:val="0"/>
                <w:sz w:val="18"/>
              </w:rPr>
              <w:t>Release Date</w:t>
            </w:r>
          </w:p>
        </w:tc>
        <w:tc>
          <w:tcPr>
            <w:tcW w:type="dxa" w:w="6480"/>
            <w:vAlign w:val="center"/>
          </w:tcPr>
          <w:p>
            <w:pPr>
              <w:spacing w:after="0" w:before="0"/>
            </w:pPr>
            <w:r/>
            <w:r>
              <w:rPr>
                <w:rFonts w:ascii="Arial" w:hAnsi="Arial"/>
                <w:b w:val="0"/>
                <w:sz w:val="18"/>
              </w:rPr>
              <w:t>21-Jul-2026</w:t>
            </w:r>
          </w:p>
        </w:tc>
      </w:tr>
      <w:tr>
        <w:tc>
          <w:tcPr>
            <w:tcW w:type="dxa" w:w="3168"/>
            <w:vAlign w:val="center"/>
            <w:shd w:fill="F4F4F4"/>
          </w:tcPr>
          <w:p>
            <w:pPr>
              <w:spacing w:after="0" w:before="0"/>
            </w:pPr>
            <w:r/>
            <w:r>
              <w:rPr>
                <w:rFonts w:ascii="Arial" w:hAnsi="Arial"/>
                <w:b w:val="0"/>
                <w:sz w:val="18"/>
              </w:rPr>
              <w:t>Previous Release Date</w:t>
            </w:r>
          </w:p>
        </w:tc>
        <w:tc>
          <w:tcPr>
            <w:tcW w:type="dxa" w:w="6480"/>
            <w:vAlign w:val="center"/>
            <w:shd w:fill="F4F4F4"/>
          </w:tcPr>
          <w:p>
            <w:r>
              <w:t>NA</w:t>
            </w:r>
          </w:p>
        </w:tc>
      </w:tr>
      <w:tr>
        <w:tc>
          <w:tcPr>
            <w:tcW w:type="dxa" w:w="3168"/>
            <w:vAlign w:val="center"/>
          </w:tcPr>
          <w:p>
            <w:pPr>
              <w:spacing w:after="0" w:before="0"/>
            </w:pPr>
            <w:r/>
            <w:r>
              <w:rPr>
                <w:rFonts w:ascii="Arial" w:hAnsi="Arial"/>
                <w:b w:val="0"/>
                <w:sz w:val="18"/>
              </w:rPr>
              <w:t>Written By</w:t>
            </w:r>
          </w:p>
        </w:tc>
        <w:tc>
          <w:tcPr>
            <w:tcW w:type="dxa" w:w="6480"/>
            <w:vAlign w:val="center"/>
          </w:tcPr>
          <w:p>
            <w:pPr>
              <w:spacing w:after="0" w:before="0"/>
            </w:pPr>
            <w:r/>
            <w:r>
              <w:rPr>
                <w:rFonts w:ascii="Arial" w:hAnsi="Arial"/>
                <w:b w:val="0"/>
                <w:sz w:val="18"/>
              </w:rPr>
              <w:t>Dileep Kumar Maurya</w:t>
            </w:r>
          </w:p>
        </w:tc>
      </w:tr>
      <w:tr>
        <w:tc>
          <w:tcPr>
            <w:tcW w:type="dxa" w:w="3168"/>
            <w:vAlign w:val="center"/>
            <w:shd w:fill="F4F4F4"/>
          </w:tcPr>
          <w:p>
            <w:pPr>
              <w:spacing w:after="0" w:before="0"/>
            </w:pPr>
            <w:r/>
            <w:r>
              <w:rPr>
                <w:rFonts w:ascii="Arial" w:hAnsi="Arial"/>
                <w:b w:val="0"/>
                <w:sz w:val="18"/>
              </w:rPr>
              <w:t>Reviewed By</w:t>
            </w:r>
          </w:p>
        </w:tc>
        <w:tc>
          <w:tcPr>
            <w:tcW w:type="dxa" w:w="6480"/>
            <w:vAlign w:val="center"/>
            <w:shd w:fill="F4F4F4"/>
          </w:tcPr>
          <w:p>
            <w:pPr>
              <w:spacing w:after="0" w:before="0"/>
            </w:pPr>
            <w:r/>
            <w:r>
              <w:rPr>
                <w:rFonts w:ascii="Arial" w:hAnsi="Arial"/>
                <w:b w:val="0"/>
                <w:sz w:val="18"/>
              </w:rPr>
              <w:t>Rashi Bansal</w:t>
            </w:r>
          </w:p>
        </w:tc>
      </w:tr>
      <w:tr>
        <w:tc>
          <w:tcPr>
            <w:tcW w:type="dxa" w:w="3168"/>
            <w:vAlign w:val="center"/>
          </w:tcPr>
          <w:p>
            <w:pPr>
              <w:spacing w:after="0" w:before="0"/>
            </w:pPr>
            <w:r/>
            <w:r>
              <w:rPr>
                <w:rFonts w:ascii="Arial" w:hAnsi="Arial"/>
                <w:b w:val="0"/>
                <w:sz w:val="18"/>
              </w:rPr>
              <w:t>Approved By</w:t>
            </w:r>
          </w:p>
        </w:tc>
        <w:tc>
          <w:tcPr>
            <w:tcW w:type="dxa" w:w="6480"/>
            <w:vAlign w:val="center"/>
          </w:tcPr>
          <w:p>
            <w:pPr>
              <w:spacing w:after="0" w:before="0"/>
            </w:pPr>
            <w:r/>
            <w:r>
              <w:rPr>
                <w:rFonts w:ascii="Arial" w:hAnsi="Arial"/>
                <w:b w:val="0"/>
                <w:sz w:val="18"/>
              </w:rPr>
              <w:t>Prakash Rangaraj</w:t>
            </w:r>
          </w:p>
        </w:tc>
      </w:tr>
      <w:tr>
        <w:tc>
          <w:tcPr>
            <w:tcW w:type="dxa" w:w="3168"/>
            <w:vAlign w:val="center"/>
            <w:shd w:fill="F4F4F4"/>
          </w:tcPr>
          <w:p>
            <w:pPr>
              <w:spacing w:after="0" w:before="0"/>
            </w:pPr>
            <w:r/>
            <w:r>
              <w:rPr>
                <w:rFonts w:ascii="Arial" w:hAnsi="Arial"/>
                <w:b w:val="0"/>
                <w:sz w:val="18"/>
              </w:rPr>
              <w:t>Classification</w:t>
            </w:r>
          </w:p>
        </w:tc>
        <w:tc>
          <w:tcPr>
            <w:tcW w:type="dxa" w:w="6480"/>
            <w:vAlign w:val="center"/>
            <w:shd w:fill="F4F4F4"/>
          </w:tcPr>
          <w:p>
            <w:pPr>
              <w:spacing w:after="0" w:before="0"/>
            </w:pPr>
            <w:r/>
            <w:r>
              <w:rPr>
                <w:rFonts w:ascii="Arial" w:hAnsi="Arial"/>
                <w:b w:val="0"/>
                <w:sz w:val="18"/>
              </w:rPr>
              <w:t>IDFC FIRST Bank Confidential</w:t>
            </w:r>
          </w:p>
        </w:tc>
      </w:tr>
      <w:tr>
        <w:tc>
          <w:tcPr>
            <w:tcW w:type="dxa" w:w="5083"/>
            <w:vAlign w:val="center"/>
          </w:tcPr>
          <w:p>
            <w:pPr>
              <w:spacing w:after="0" w:before="0"/>
            </w:pPr>
            <w:r/>
            <w:r>
              <w:rPr>
                <w:rFonts w:ascii="Arial" w:hAnsi="Arial"/>
                <w:b w:val="0"/>
                <w:sz w:val="18"/>
              </w:rPr>
              <w:t>Name of File</w:t>
            </w:r>
          </w:p>
        </w:tc>
        <w:tc>
          <w:tcPr>
            <w:tcW w:type="dxa" w:w="5083"/>
            <w:vAlign w:val="center"/>
          </w:tcPr>
          <w:p>
            <w:r>
              <w:t>IDFC_FIRST_API_Platform_Technology_Controls_v1.0.docx</w:t>
            </w:r>
          </w:p>
        </w:tc>
      </w:tr>
    </w:tbl>
    <w:p>
      <w:pPr>
        <w:spacing w:after="0"/>
      </w:pPr>
    </w:p>
    <w:p>
      <w:pPr>
        <w:spacing w:after="0"/>
      </w:pPr>
    </w:p>
    <w:p>
      <w:r>
        <w:br w:type="page"/>
      </w:r>
    </w:p>
    <w:p>
      <w:pPr>
        <w:spacing w:before="120" w:after="160"/>
      </w:pPr>
      <w:r>
        <w:rPr>
          <w:rFonts w:ascii="Arial" w:hAnsi="Arial"/>
          <w:b/>
          <w:color w:val="A6192E"/>
          <w:sz w:val="30"/>
        </w:rPr>
        <w:t>Document Amendment History</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936"/>
            <w:vAlign w:val="center"/>
            <w:shd w:fill="A6192E"/>
          </w:tcPr>
          <w:p>
            <w:pPr>
              <w:spacing w:after="0" w:before="0"/>
              <w:jc w:val="center"/>
            </w:pPr>
            <w:r/>
            <w:r>
              <w:rPr>
                <w:rFonts w:ascii="Arial" w:hAnsi="Arial"/>
                <w:b/>
                <w:color w:val="FFFFFF"/>
                <w:sz w:val="16"/>
              </w:rPr>
              <w:t>Version</w:t>
            </w:r>
          </w:p>
        </w:tc>
        <w:tc>
          <w:tcPr>
            <w:tcW w:type="dxa" w:w="1368"/>
            <w:vAlign w:val="center"/>
            <w:shd w:fill="A6192E"/>
          </w:tcPr>
          <w:p>
            <w:pPr>
              <w:spacing w:after="0" w:before="0"/>
              <w:jc w:val="center"/>
            </w:pPr>
            <w:r/>
            <w:r>
              <w:rPr>
                <w:rFonts w:ascii="Arial" w:hAnsi="Arial"/>
                <w:b/>
                <w:color w:val="FFFFFF"/>
                <w:sz w:val="16"/>
              </w:rPr>
              <w:t>Date</w:t>
            </w:r>
          </w:p>
        </w:tc>
        <w:tc>
          <w:tcPr>
            <w:tcW w:type="dxa" w:w="3528"/>
            <w:vAlign w:val="center"/>
            <w:shd w:fill="A6192E"/>
          </w:tcPr>
          <w:p>
            <w:pPr>
              <w:spacing w:after="0" w:before="0"/>
              <w:jc w:val="center"/>
            </w:pPr>
            <w:r/>
            <w:r>
              <w:rPr>
                <w:rFonts w:ascii="Arial" w:hAnsi="Arial"/>
                <w:b/>
                <w:color w:val="FFFFFF"/>
                <w:sz w:val="16"/>
              </w:rPr>
              <w:t>Change Details</w:t>
            </w:r>
          </w:p>
        </w:tc>
        <w:tc>
          <w:tcPr>
            <w:tcW w:type="dxa" w:w="1224"/>
            <w:vAlign w:val="center"/>
            <w:shd w:fill="A6192E"/>
          </w:tcPr>
          <w:p>
            <w:pPr>
              <w:spacing w:after="0" w:before="0"/>
              <w:jc w:val="center"/>
            </w:pPr>
            <w:r/>
            <w:r>
              <w:rPr>
                <w:rFonts w:ascii="Arial" w:hAnsi="Arial"/>
                <w:b/>
                <w:color w:val="FFFFFF"/>
                <w:sz w:val="16"/>
              </w:rPr>
              <w:t>Initiated By</w:t>
            </w:r>
          </w:p>
        </w:tc>
        <w:tc>
          <w:tcPr>
            <w:tcW w:type="dxa" w:w="1224"/>
            <w:vAlign w:val="center"/>
            <w:shd w:fill="A6192E"/>
          </w:tcPr>
          <w:p>
            <w:pPr>
              <w:spacing w:after="0" w:before="0"/>
              <w:jc w:val="center"/>
            </w:pPr>
            <w:r/>
            <w:r>
              <w:rPr>
                <w:rFonts w:ascii="Arial" w:hAnsi="Arial"/>
                <w:b/>
                <w:color w:val="FFFFFF"/>
                <w:sz w:val="16"/>
              </w:rPr>
              <w:t>Reviewed By</w:t>
            </w:r>
          </w:p>
        </w:tc>
        <w:tc>
          <w:tcPr>
            <w:tcW w:type="dxa" w:w="1224"/>
            <w:vAlign w:val="center"/>
            <w:shd w:fill="A6192E"/>
          </w:tcPr>
          <w:p>
            <w:pPr>
              <w:spacing w:after="0" w:before="0"/>
              <w:jc w:val="center"/>
            </w:pPr>
            <w:r/>
            <w:r>
              <w:rPr>
                <w:rFonts w:ascii="Arial" w:hAnsi="Arial"/>
                <w:b/>
                <w:color w:val="FFFFFF"/>
                <w:sz w:val="16"/>
              </w:rPr>
              <w:t>Approved By</w:t>
            </w:r>
          </w:p>
        </w:tc>
      </w:tr>
      <w:tr>
        <w:tc>
          <w:tcPr>
            <w:tcW w:type="dxa" w:w="936"/>
            <w:vAlign w:val="center"/>
          </w:tcPr>
          <w:p>
            <w:pPr>
              <w:spacing w:after="0" w:before="0"/>
              <w:jc w:val="center"/>
            </w:pPr>
            <w:r/>
            <w:r>
              <w:rPr>
                <w:rFonts w:ascii="Arial" w:hAnsi="Arial"/>
                <w:b w:val="0"/>
                <w:sz w:val="16"/>
              </w:rPr>
              <w:t>1.0</w:t>
            </w:r>
          </w:p>
        </w:tc>
        <w:tc>
          <w:tcPr>
            <w:tcW w:type="dxa" w:w="1368"/>
            <w:vAlign w:val="center"/>
          </w:tcPr>
          <w:p>
            <w:pPr>
              <w:spacing w:after="0" w:before="0"/>
              <w:jc w:val="center"/>
            </w:pPr>
            <w:r/>
            <w:r>
              <w:rPr>
                <w:rFonts w:ascii="Arial" w:hAnsi="Arial"/>
                <w:b w:val="0"/>
                <w:sz w:val="16"/>
              </w:rPr>
              <w:t>21-Jul-2026</w:t>
            </w:r>
          </w:p>
        </w:tc>
        <w:tc>
          <w:tcPr>
            <w:tcW w:type="dxa" w:w="3528"/>
            <w:vAlign w:val="center"/>
          </w:tcPr>
          <w:p>
            <w:r>
              <w:t>Initial issue</w:t>
            </w:r>
          </w:p>
        </w:tc>
        <w:tc>
          <w:tcPr>
            <w:tcW w:type="dxa" w:w="1224"/>
            <w:vAlign w:val="center"/>
          </w:tcPr>
          <w:p>
            <w:pPr>
              <w:spacing w:after="0" w:before="0"/>
              <w:jc w:val="center"/>
            </w:pPr>
            <w:r/>
            <w:r>
              <w:rPr>
                <w:rFonts w:ascii="Arial" w:hAnsi="Arial"/>
                <w:b w:val="0"/>
                <w:sz w:val="16"/>
              </w:rPr>
              <w:t>Dileep Kumar Maurya</w:t>
            </w:r>
          </w:p>
        </w:tc>
        <w:tc>
          <w:tcPr>
            <w:tcW w:type="dxa" w:w="1224"/>
            <w:vAlign w:val="center"/>
          </w:tcPr>
          <w:p>
            <w:pPr>
              <w:spacing w:after="0" w:before="0"/>
              <w:jc w:val="center"/>
            </w:pPr>
            <w:r/>
            <w:r>
              <w:rPr>
                <w:rFonts w:ascii="Arial" w:hAnsi="Arial"/>
                <w:b w:val="0"/>
                <w:sz w:val="16"/>
              </w:rPr>
              <w:t>Rashi Bansal</w:t>
            </w:r>
          </w:p>
        </w:tc>
        <w:tc>
          <w:tcPr>
            <w:tcW w:type="dxa" w:w="1224"/>
            <w:vAlign w:val="center"/>
          </w:tcPr>
          <w:p>
            <w:pPr>
              <w:spacing w:after="0" w:before="0"/>
              <w:jc w:val="center"/>
            </w:pPr>
            <w:r/>
            <w:r>
              <w:rPr>
                <w:rFonts w:ascii="Arial" w:hAnsi="Arial"/>
                <w:b w:val="0"/>
                <w:sz w:val="16"/>
              </w:rPr>
              <w:t>Prakash Rangaraj</w:t>
            </w:r>
          </w:p>
        </w:tc>
      </w:tr>
    </w:tbl>
    <w:p>
      <w:r>
        <w:br w:type="page"/>
      </w:r>
    </w:p>
    <w:p>
      <w:pPr>
        <w:pStyle w:val="Heading1"/>
      </w:pPr>
      <w:r>
        <w:t>Table of Contents</w:t>
      </w:r>
    </w:p>
    <w:p>
      <w:pPr>
        <w:spacing w:after="60"/>
        <w:ind w:left="144"/>
        <w:tabs>
          <w:tab w:val="right" w:leader="dot" w:pos="9800"/>
        </w:tabs>
      </w:pPr>
      <w:r>
        <w:rPr>
          <w:sz w:val="22"/>
        </w:rPr>
        <w:t>1. Executive Summary</w:t>
      </w:r>
      <w:r>
        <w:tab/>
      </w:r>
      <w:r>
        <w:rPr>
          <w:sz w:val="22"/>
        </w:rPr>
        <w:t>4</w:t>
      </w:r>
    </w:p>
    <w:p>
      <w:pPr>
        <w:spacing w:after="60"/>
        <w:ind w:left="144"/>
        <w:tabs>
          <w:tab w:val="right" w:leader="dot" w:pos="9800"/>
        </w:tabs>
      </w:pPr>
      <w:r>
        <w:rPr>
          <w:sz w:val="22"/>
        </w:rPr>
        <w:t>2. Document Purpose and Scope</w:t>
      </w:r>
      <w:r>
        <w:tab/>
      </w:r>
      <w:r>
        <w:rPr>
          <w:sz w:val="22"/>
        </w:rPr>
        <w:t>4</w:t>
      </w:r>
    </w:p>
    <w:p>
      <w:pPr>
        <w:spacing w:after="60"/>
        <w:ind w:left="144"/>
        <w:tabs>
          <w:tab w:val="right" w:leader="dot" w:pos="9800"/>
        </w:tabs>
      </w:pPr>
      <w:r>
        <w:rPr>
          <w:sz w:val="22"/>
        </w:rPr>
        <w:t>3. Platform Overview and Ownership</w:t>
      </w:r>
      <w:r>
        <w:tab/>
      </w:r>
      <w:r>
        <w:rPr>
          <w:sz w:val="22"/>
        </w:rPr>
        <w:t>5</w:t>
      </w:r>
    </w:p>
    <w:p>
      <w:pPr>
        <w:spacing w:after="60"/>
        <w:ind w:left="144"/>
        <w:tabs>
          <w:tab w:val="right" w:leader="dot" w:pos="9800"/>
        </w:tabs>
      </w:pPr>
      <w:r>
        <w:rPr>
          <w:sz w:val="22"/>
        </w:rPr>
        <w:t>4. Environment and EKS Deployment Model</w:t>
      </w:r>
      <w:r>
        <w:tab/>
      </w:r>
      <w:r>
        <w:rPr>
          <w:sz w:val="22"/>
        </w:rPr>
        <w:t>6</w:t>
      </w:r>
    </w:p>
    <w:p>
      <w:pPr>
        <w:spacing w:after="60"/>
        <w:ind w:left="144"/>
        <w:tabs>
          <w:tab w:val="right" w:leader="dot" w:pos="9800"/>
        </w:tabs>
      </w:pPr>
      <w:r>
        <w:rPr>
          <w:sz w:val="22"/>
        </w:rPr>
        <w:t>5. High-Level Architecture and Data Flow</w:t>
      </w:r>
      <w:r>
        <w:tab/>
      </w:r>
      <w:r>
        <w:rPr>
          <w:sz w:val="22"/>
        </w:rPr>
        <w:t>7</w:t>
      </w:r>
    </w:p>
    <w:p>
      <w:pPr>
        <w:spacing w:after="60"/>
        <w:ind w:left="144"/>
        <w:tabs>
          <w:tab w:val="right" w:leader="dot" w:pos="9800"/>
        </w:tabs>
      </w:pPr>
      <w:r>
        <w:rPr>
          <w:sz w:val="22"/>
        </w:rPr>
        <w:t>6. Application Runtime and Container Architecture</w:t>
      </w:r>
      <w:r>
        <w:tab/>
      </w:r>
      <w:r>
        <w:rPr>
          <w:sz w:val="22"/>
        </w:rPr>
        <w:t>8</w:t>
      </w:r>
    </w:p>
    <w:p>
      <w:pPr>
        <w:spacing w:after="60"/>
        <w:ind w:left="144"/>
        <w:tabs>
          <w:tab w:val="right" w:leader="dot" w:pos="9800"/>
        </w:tabs>
      </w:pPr>
      <w:r>
        <w:rPr>
          <w:sz w:val="22"/>
        </w:rPr>
        <w:t>7. Authentication and Data Protection</w:t>
      </w:r>
      <w:r>
        <w:tab/>
      </w:r>
      <w:r>
        <w:rPr>
          <w:sz w:val="22"/>
        </w:rPr>
        <w:t>8</w:t>
      </w:r>
    </w:p>
    <w:p>
      <w:pPr>
        <w:spacing w:after="60"/>
        <w:ind w:left="144"/>
        <w:tabs>
          <w:tab w:val="right" w:leader="dot" w:pos="9800"/>
        </w:tabs>
      </w:pPr>
      <w:r>
        <w:rPr>
          <w:sz w:val="22"/>
        </w:rPr>
        <w:t>8. CI/CD, Source Control and Release Management</w:t>
      </w:r>
      <w:r>
        <w:tab/>
      </w:r>
      <w:r>
        <w:rPr>
          <w:sz w:val="22"/>
        </w:rPr>
        <w:t>9</w:t>
      </w:r>
    </w:p>
    <w:p>
      <w:pPr>
        <w:spacing w:after="60"/>
        <w:ind w:left="144"/>
        <w:tabs>
          <w:tab w:val="right" w:leader="dot" w:pos="9800"/>
        </w:tabs>
      </w:pPr>
      <w:r>
        <w:rPr>
          <w:sz w:val="22"/>
        </w:rPr>
        <w:t>9. Vulnerability and Container Security</w:t>
      </w:r>
      <w:r>
        <w:tab/>
      </w:r>
      <w:r>
        <w:rPr>
          <w:sz w:val="22"/>
        </w:rPr>
        <w:t>9</w:t>
      </w:r>
    </w:p>
    <w:p>
      <w:pPr>
        <w:spacing w:after="60"/>
        <w:ind w:left="144"/>
        <w:tabs>
          <w:tab w:val="right" w:leader="dot" w:pos="9800"/>
        </w:tabs>
      </w:pPr>
      <w:r>
        <w:rPr>
          <w:sz w:val="22"/>
        </w:rPr>
        <w:t>10. Secrets and Credential Management</w:t>
      </w:r>
      <w:r>
        <w:tab/>
      </w:r>
      <w:r>
        <w:rPr>
          <w:sz w:val="22"/>
        </w:rPr>
        <w:t>10</w:t>
      </w:r>
    </w:p>
    <w:p>
      <w:pPr>
        <w:spacing w:after="60"/>
        <w:ind w:left="144"/>
        <w:tabs>
          <w:tab w:val="right" w:leader="dot" w:pos="9800"/>
        </w:tabs>
      </w:pPr>
      <w:r>
        <w:rPr>
          <w:sz w:val="22"/>
        </w:rPr>
        <w:t>11. Logging, Monitoring and Incident Operations</w:t>
      </w:r>
      <w:r>
        <w:tab/>
      </w:r>
      <w:r>
        <w:rPr>
          <w:sz w:val="22"/>
        </w:rPr>
        <w:t>10</w:t>
      </w:r>
    </w:p>
    <w:p>
      <w:pPr>
        <w:spacing w:after="60"/>
        <w:ind w:left="144"/>
        <w:tabs>
          <w:tab w:val="right" w:leader="dot" w:pos="9800"/>
        </w:tabs>
      </w:pPr>
      <w:r>
        <w:rPr>
          <w:sz w:val="22"/>
        </w:rPr>
        <w:t>12. Data Services and Integrations</w:t>
      </w:r>
      <w:r>
        <w:tab/>
      </w:r>
      <w:r>
        <w:rPr>
          <w:sz w:val="22"/>
        </w:rPr>
        <w:t>11</w:t>
      </w:r>
    </w:p>
    <w:p>
      <w:pPr>
        <w:spacing w:after="60"/>
        <w:ind w:left="144"/>
        <w:tabs>
          <w:tab w:val="right" w:leader="dot" w:pos="9800"/>
        </w:tabs>
      </w:pPr>
      <w:r>
        <w:rPr>
          <w:sz w:val="22"/>
        </w:rPr>
        <w:t>13. Availability, Backup and Disaster Recovery</w:t>
      </w:r>
      <w:r>
        <w:tab/>
      </w:r>
      <w:r>
        <w:rPr>
          <w:sz w:val="22"/>
        </w:rPr>
        <w:t>11</w:t>
      </w:r>
    </w:p>
    <w:p>
      <w:pPr>
        <w:spacing w:after="60"/>
        <w:ind w:left="144"/>
        <w:tabs>
          <w:tab w:val="right" w:leader="dot" w:pos="9800"/>
        </w:tabs>
      </w:pPr>
      <w:r>
        <w:rPr>
          <w:sz w:val="22"/>
        </w:rPr>
        <w:t>14. Risk and Control Summary</w:t>
      </w:r>
      <w:r>
        <w:tab/>
      </w:r>
      <w:r>
        <w:rPr>
          <w:sz w:val="22"/>
        </w:rPr>
        <w:t>14</w:t>
      </w:r>
    </w:p>
    <w:p>
      <w:pPr>
        <w:spacing w:after="60"/>
        <w:ind w:left="144"/>
        <w:tabs>
          <w:tab w:val="right" w:leader="dot" w:pos="9800"/>
        </w:tabs>
      </w:pPr>
      <w:r>
        <w:rPr>
          <w:sz w:val="22"/>
        </w:rPr>
        <w:t>15. Audit Evidence</w:t>
      </w:r>
      <w:r>
        <w:tab/>
      </w:r>
      <w:r>
        <w:rPr>
          <w:sz w:val="22"/>
        </w:rPr>
        <w:t>15</w:t>
      </w:r>
    </w:p>
    <w:p>
      <w:pPr>
        <w:spacing w:after="60"/>
        <w:ind w:left="144"/>
        <w:tabs>
          <w:tab w:val="right" w:leader="dot" w:pos="9800"/>
        </w:tabs>
      </w:pPr>
      <w:r>
        <w:rPr>
          <w:sz w:val="22"/>
        </w:rPr>
        <w:t>16. Roles and Responsibilities</w:t>
      </w:r>
      <w:r>
        <w:tab/>
      </w:r>
      <w:r>
        <w:rPr>
          <w:sz w:val="22"/>
        </w:rPr>
        <w:t>15</w:t>
      </w:r>
    </w:p>
    <w:p>
      <w:pPr>
        <w:spacing w:after="60"/>
        <w:ind w:left="144"/>
        <w:tabs>
          <w:tab w:val="right" w:leader="dot" w:pos="9800"/>
        </w:tabs>
      </w:pPr>
      <w:r>
        <w:rPr>
          <w:sz w:val="22"/>
        </w:rPr>
        <w:t>17. Document Approval and Change History</w:t>
      </w:r>
      <w:r>
        <w:tab/>
      </w:r>
      <w:r>
        <w:rPr>
          <w:sz w:val="22"/>
        </w:rPr>
        <w:t>16</w:t>
      </w:r>
    </w:p>
    <w:p>
      <w:pPr>
        <w:spacing w:after="60"/>
        <w:ind w:left="144"/>
        <w:tabs>
          <w:tab w:val="right" w:leader="dot" w:pos="9800"/>
        </w:tabs>
      </w:pPr>
      <w:r>
        <w:rPr>
          <w:sz w:val="22"/>
        </w:rPr>
        <w:t>Appendix A. EKS Cluster Inventory</w:t>
      </w:r>
      <w:r>
        <w:tab/>
      </w:r>
      <w:r>
        <w:rPr>
          <w:sz w:val="22"/>
        </w:rPr>
        <w:t>16</w:t>
      </w:r>
    </w:p>
    <w:p>
      <w:pPr>
        <w:spacing w:after="0"/>
      </w:pPr>
    </w:p>
    <w:p>
      <w:r>
        <w:br w:type="page"/>
      </w:r>
    </w:p>
    <w:p>
      <w:pPr>
        <w:pStyle w:val="Heading1"/>
      </w:pPr>
      <w:r>
        <w:t>1. Executive Summary</w:t>
      </w:r>
    </w:p>
    <w:p>
      <w:r>
        <w:t>The API Platform is a high-criticality, reusable technology foundation operated by IDFC FIRST Bank for the development, deployment and operation of API-based services. The platform standardises the application runtime on Java 21 and Spring Boot 3.5, deploys workloads to Amazon EKS, and uses controlled CI/CD promotion through Bitbucket, SonarQube, Amazon ECR, Twistlock/Prisma Cloud and GoCD.</w:t>
      </w:r>
    </w:p>
    <w:p>
      <w:r>
        <w:t>The platform supports integrations with internal bank systems and external partners. Inbound API access is routed through Kong, while authentication and authorisation use Ory Hydra with OAuth 2.0. Approved outbound calls from platform services use the Kong egress path to reach external providers. Detailed Kong controls are intentionally outside the scope of this document. PII and other sensitive data are protected through encryption in transit and classification-based encryption at rest.</w:t>
      </w:r>
    </w:p>
    <w:p>
      <w:r>
        <w:t>Production is hosted in the Mumbai AWS region (ap-south-1) and disaster recovery is hosted in Hyderabad (ap-south-2). PROD and DR use separate VPCs and separate EKS clusters. AWS Global Accelerator provides health-based traffic steering and automatic regional failover through the regional NLB/ALB endpoints. The approved RPO is 30 minutes and the RTO is two hours. DR exercises are performed quarterly.</w:t>
      </w:r>
    </w:p>
    <w:p>
      <w:pPr>
        <w:pStyle w:val="Heading1"/>
      </w:pPr>
      <w:r>
        <w:t>2. Document Purpose and Scope</w:t>
      </w:r>
    </w:p>
    <w:p>
      <w:pPr>
        <w:pStyle w:val="Heading2"/>
      </w:pPr>
      <w:r>
        <w:t>2.1 Purpose</w:t>
      </w:r>
    </w:p>
    <w:p>
      <w:r>
        <w:t>This document outlines the current API Platform architecture, deployment model, technology controls and data flows between the platform and the wider IDFC FIRST Bank ecosystem. It provides an audit-oriented view of how platform components are designed, deployed, secured, monitored and recovered.</w:t>
      </w:r>
    </w:p>
    <w:p>
      <w:pPr>
        <w:pStyle w:val="Heading2"/>
      </w:pPr>
      <w:r>
        <w:t>2.2 In Scope</w:t>
      </w:r>
    </w:p>
    <w:p>
      <w:pPr>
        <w:pStyle w:val="ListBullet"/>
        <w:spacing w:after="40"/>
      </w:pPr>
      <w:r>
        <w:t>Java 21 and Spring Boot 3.5 microservices hosted on Amazon EKS.</w:t>
      </w:r>
    </w:p>
    <w:p>
      <w:pPr>
        <w:pStyle w:val="ListBullet"/>
        <w:spacing w:after="40"/>
      </w:pPr>
      <w:r>
        <w:t>DEV, SIT, UAT, PRE-PROD, PROD and DR environments.</w:t>
      </w:r>
    </w:p>
    <w:p>
      <w:pPr>
        <w:pStyle w:val="ListBullet"/>
        <w:spacing w:after="40"/>
      </w:pPr>
      <w:r>
        <w:t>Bitbucket source control, SonarQube SAST, Amazon ECR, Twistlock/Prisma Cloud and GoCD.</w:t>
      </w:r>
    </w:p>
    <w:p>
      <w:pPr>
        <w:pStyle w:val="ListBullet"/>
        <w:spacing w:after="40"/>
      </w:pPr>
      <w:r>
        <w:rPr>
          <w:b w:val="0"/>
        </w:rPr>
        <w:t>Ory Hydra with OAuth 2.0 and Kubernetes Secrets.</w:t>
      </w:r>
    </w:p>
    <w:p>
      <w:pPr>
        <w:pStyle w:val="ListBullet"/>
        <w:spacing w:after="40"/>
      </w:pPr>
      <w:r>
        <w:rPr>
          <w:b w:val="0"/>
        </w:rPr>
        <w:t>Aerospike, Oracle Database (FinnOne), Amazon MSK and Amazon S3 data services.</w:t>
      </w:r>
    </w:p>
    <w:p>
      <w:pPr>
        <w:pStyle w:val="ListBullet"/>
        <w:spacing w:after="40"/>
      </w:pPr>
      <w:r>
        <w:t>ELK/Kibana, Prometheus and Jaeger observability.</w:t>
      </w:r>
    </w:p>
    <w:p>
      <w:pPr>
        <w:pStyle w:val="ListBullet"/>
        <w:spacing w:after="40"/>
      </w:pPr>
      <w:r>
        <w:rPr>
          <w:rFonts w:ascii="Arial" w:hAnsi="Arial"/>
          <w:b w:val="0"/>
        </w:rPr>
        <w:t>Production operations, backup and disaster recovery.</w:t>
      </w:r>
    </w:p>
    <w:p>
      <w:pPr>
        <w:pStyle w:val="Heading2"/>
      </w:pPr>
      <w:r>
        <w:t>2.3 Scope Boundary</w:t>
      </w:r>
    </w:p>
    <w:p>
      <w:r>
        <w:t>Kong appears in the architecture as the mandatory API gateway path. Detailed Kong gateway configuration, plugin controls and gateway-team operating procedures are not assessed in this document.</w:t>
      </w:r>
    </w:p>
    <w:p>
      <w:r>
        <w:br w:type="page"/>
      </w:r>
    </w:p>
    <w:p>
      <w:pPr>
        <w:pStyle w:val="Heading1"/>
      </w:pPr>
      <w:r>
        <w:t>3. Platform Overview and Ownership</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A6192E"/>
          </w:tcPr>
          <w:p>
            <w:r/>
            <w:r>
              <w:rPr>
                <w:rFonts w:ascii="Arial" w:hAnsi="Arial"/>
                <w:b/>
                <w:color w:val="FFFFFF"/>
                <w:sz w:val="17"/>
              </w:rPr>
              <w:t>Attribute</w:t>
            </w:r>
          </w:p>
        </w:tc>
        <w:tc>
          <w:tcPr>
            <w:tcW w:type="dxa" w:w="6768"/>
            <w:vAlign w:val="center"/>
            <w:shd w:fill="A6192E"/>
          </w:tcPr>
          <w:p>
            <w:r/>
            <w:r>
              <w:rPr>
                <w:rFonts w:ascii="Arial" w:hAnsi="Arial"/>
                <w:b/>
                <w:color w:val="FFFFFF"/>
                <w:sz w:val="17"/>
              </w:rPr>
              <w:t>Confirmed Value</w:t>
            </w:r>
          </w:p>
        </w:tc>
      </w:tr>
      <w:tr>
        <w:tc>
          <w:tcPr>
            <w:tcW w:type="dxa" w:w="3024"/>
            <w:vAlign w:val="center"/>
          </w:tcPr>
          <w:p>
            <w:r/>
            <w:r>
              <w:rPr>
                <w:rFonts w:ascii="Arial" w:hAnsi="Arial"/>
                <w:b w:val="0"/>
                <w:sz w:val="17"/>
              </w:rPr>
              <w:t>Platform</w:t>
            </w:r>
          </w:p>
        </w:tc>
        <w:tc>
          <w:tcPr>
            <w:tcW w:type="dxa" w:w="6768"/>
            <w:vAlign w:val="center"/>
          </w:tcPr>
          <w:p>
            <w:r/>
            <w:r>
              <w:rPr>
                <w:rFonts w:ascii="Arial" w:hAnsi="Arial"/>
                <w:b w:val="0"/>
                <w:sz w:val="17"/>
              </w:rPr>
              <w:t>API Platform</w:t>
            </w:r>
          </w:p>
        </w:tc>
      </w:tr>
      <w:tr>
        <w:tc>
          <w:tcPr>
            <w:tcW w:type="dxa" w:w="3024"/>
            <w:vAlign w:val="center"/>
            <w:shd w:fill="FAFAFA"/>
          </w:tcPr>
          <w:p>
            <w:r/>
            <w:r>
              <w:rPr>
                <w:rFonts w:ascii="Arial" w:hAnsi="Arial"/>
                <w:b w:val="0"/>
                <w:sz w:val="17"/>
              </w:rPr>
              <w:t>Business purpose</w:t>
            </w:r>
          </w:p>
        </w:tc>
        <w:tc>
          <w:tcPr>
            <w:tcW w:type="dxa" w:w="6768"/>
            <w:vAlign w:val="center"/>
            <w:shd w:fill="FAFAFA"/>
          </w:tcPr>
          <w:p>
            <w:r/>
            <w:r>
              <w:rPr>
                <w:rFonts w:ascii="Arial" w:hAnsi="Arial"/>
                <w:b w:val="0"/>
                <w:sz w:val="17"/>
              </w:rPr>
              <w:t>Reusable and governed platform for API projects and data flows across the bank ecosystem</w:t>
            </w:r>
          </w:p>
        </w:tc>
      </w:tr>
      <w:tr>
        <w:tc>
          <w:tcPr>
            <w:tcW w:type="dxa" w:w="3024"/>
            <w:vAlign w:val="center"/>
          </w:tcPr>
          <w:p>
            <w:r/>
            <w:r>
              <w:rPr>
                <w:rFonts w:ascii="Arial" w:hAnsi="Arial"/>
                <w:b w:val="0"/>
                <w:sz w:val="17"/>
              </w:rPr>
              <w:t>Business criticality</w:t>
            </w:r>
          </w:p>
        </w:tc>
        <w:tc>
          <w:tcPr>
            <w:tcW w:type="dxa" w:w="6768"/>
            <w:vAlign w:val="center"/>
          </w:tcPr>
          <w:p>
            <w:r/>
            <w:r>
              <w:rPr>
                <w:rFonts w:ascii="Arial" w:hAnsi="Arial"/>
                <w:b w:val="0"/>
                <w:sz w:val="17"/>
              </w:rPr>
              <w:t>High</w:t>
            </w:r>
          </w:p>
        </w:tc>
      </w:tr>
      <w:tr>
        <w:tc>
          <w:tcPr>
            <w:tcW w:type="dxa" w:w="3024"/>
            <w:vAlign w:val="center"/>
            <w:shd w:fill="FAFAFA"/>
          </w:tcPr>
          <w:p>
            <w:r/>
            <w:r>
              <w:rPr>
                <w:rFonts w:ascii="Arial" w:hAnsi="Arial"/>
                <w:b w:val="0"/>
                <w:sz w:val="17"/>
              </w:rPr>
              <w:t>Engineering owner</w:t>
            </w:r>
          </w:p>
        </w:tc>
        <w:tc>
          <w:tcPr>
            <w:tcW w:type="dxa" w:w="6768"/>
            <w:vAlign w:val="center"/>
            <w:shd w:fill="FAFAFA"/>
          </w:tcPr>
          <w:p>
            <w:r/>
            <w:r>
              <w:rPr>
                <w:rFonts w:ascii="Arial" w:hAnsi="Arial"/>
                <w:b w:val="0"/>
                <w:sz w:val="17"/>
              </w:rPr>
              <w:t>Java Platform Team</w:t>
            </w:r>
          </w:p>
        </w:tc>
      </w:tr>
      <w:tr>
        <w:tc>
          <w:tcPr>
            <w:tcW w:type="dxa" w:w="3024"/>
            <w:vAlign w:val="center"/>
          </w:tcPr>
          <w:p>
            <w:r/>
            <w:r>
              <w:rPr>
                <w:rFonts w:ascii="Arial" w:hAnsi="Arial"/>
                <w:b w:val="0"/>
                <w:sz w:val="17"/>
              </w:rPr>
              <w:t>24×7 operations</w:t>
            </w:r>
          </w:p>
        </w:tc>
        <w:tc>
          <w:tcPr>
            <w:tcW w:type="dxa" w:w="6768"/>
            <w:vAlign w:val="center"/>
          </w:tcPr>
          <w:p>
            <w:r/>
            <w:r>
              <w:rPr>
                <w:rFonts w:ascii="Arial" w:hAnsi="Arial"/>
                <w:b w:val="0"/>
                <w:sz w:val="17"/>
              </w:rPr>
              <w:t>BTO Team - monitoring and first-level incident response</w:t>
            </w:r>
          </w:p>
        </w:tc>
      </w:tr>
      <w:tr>
        <w:tc>
          <w:tcPr>
            <w:tcW w:type="dxa" w:w="3024"/>
            <w:vAlign w:val="center"/>
            <w:shd w:fill="FAFAFA"/>
          </w:tcPr>
          <w:p>
            <w:r/>
            <w:r>
              <w:rPr>
                <w:rFonts w:ascii="Arial" w:hAnsi="Arial"/>
                <w:b w:val="0"/>
                <w:sz w:val="17"/>
              </w:rPr>
              <w:t>Identity owner</w:t>
            </w:r>
          </w:p>
        </w:tc>
        <w:tc>
          <w:tcPr>
            <w:tcW w:type="dxa" w:w="6768"/>
            <w:vAlign w:val="center"/>
            <w:shd w:fill="FAFAFA"/>
          </w:tcPr>
          <w:p>
            <w:r/>
            <w:r>
              <w:rPr>
                <w:rFonts w:ascii="Arial" w:hAnsi="Arial"/>
                <w:b w:val="0"/>
                <w:sz w:val="17"/>
              </w:rPr>
              <w:t>Separate internal IDFC Identity Team</w:t>
            </w:r>
          </w:p>
        </w:tc>
      </w:tr>
      <w:tr>
        <w:tc>
          <w:tcPr>
            <w:tcW w:type="dxa" w:w="3024"/>
            <w:vAlign w:val="center"/>
          </w:tcPr>
          <w:p>
            <w:r/>
            <w:r>
              <w:rPr>
                <w:rFonts w:ascii="Arial" w:hAnsi="Arial"/>
                <w:b w:val="0"/>
                <w:sz w:val="17"/>
              </w:rPr>
              <w:t>Application runtime</w:t>
            </w:r>
          </w:p>
        </w:tc>
        <w:tc>
          <w:tcPr>
            <w:tcW w:type="dxa" w:w="6768"/>
            <w:vAlign w:val="center"/>
          </w:tcPr>
          <w:p>
            <w:r/>
            <w:r>
              <w:rPr>
                <w:rFonts w:ascii="Arial" w:hAnsi="Arial"/>
                <w:b w:val="0"/>
                <w:sz w:val="17"/>
              </w:rPr>
              <w:t>Java 21; Spring Boot 3.5</w:t>
            </w:r>
          </w:p>
        </w:tc>
      </w:tr>
      <w:tr>
        <w:tc>
          <w:tcPr>
            <w:tcW w:type="dxa" w:w="3024"/>
            <w:vAlign w:val="center"/>
            <w:shd w:fill="FAFAFA"/>
          </w:tcPr>
          <w:p>
            <w:r/>
            <w:r>
              <w:rPr>
                <w:rFonts w:ascii="Arial" w:hAnsi="Arial"/>
                <w:b w:val="0"/>
                <w:sz w:val="17"/>
              </w:rPr>
              <w:t>Core AWS services</w:t>
            </w:r>
          </w:p>
        </w:tc>
        <w:tc>
          <w:tcPr>
            <w:tcW w:type="dxa" w:w="6768"/>
            <w:vAlign w:val="center"/>
            <w:shd w:fill="FAFAFA"/>
          </w:tcPr>
          <w:p>
            <w:r/>
            <w:r>
              <w:rPr>
                <w:rFonts w:ascii="Arial" w:hAnsi="Arial"/>
                <w:b w:val="0"/>
                <w:sz w:val="17"/>
              </w:rPr>
              <w:t>Amazon EKS, Amazon ECR, Amazon S3, Amazon MSK</w:t>
            </w:r>
          </w:p>
        </w:tc>
      </w:tr>
      <w:tr>
        <w:tc>
          <w:tcPr>
            <w:tcW w:type="dxa" w:w="3024"/>
            <w:vAlign w:val="center"/>
          </w:tcPr>
          <w:p>
            <w:r>
              <w:t>Data stores</w:t>
            </w:r>
          </w:p>
        </w:tc>
        <w:tc>
          <w:tcPr>
            <w:tcW w:type="dxa" w:w="6768"/>
            <w:vAlign w:val="center"/>
          </w:tcPr>
          <w:p>
            <w:r>
              <w:t>Aerospike; Oracle Database (FinnOne - direct integration)</w:t>
            </w:r>
          </w:p>
        </w:tc>
      </w:tr>
      <w:tr>
        <w:tc>
          <w:tcPr>
            <w:tcW w:type="dxa" w:w="3024"/>
            <w:vAlign w:val="center"/>
            <w:shd w:fill="FAFAFA"/>
          </w:tcPr>
          <w:p>
            <w:r/>
            <w:r>
              <w:rPr>
                <w:rFonts w:ascii="Arial" w:hAnsi="Arial"/>
                <w:b w:val="0"/>
                <w:sz w:val="17"/>
              </w:rPr>
              <w:t>Observability</w:t>
            </w:r>
          </w:p>
        </w:tc>
        <w:tc>
          <w:tcPr>
            <w:tcW w:type="dxa" w:w="6768"/>
            <w:vAlign w:val="center"/>
            <w:shd w:fill="FAFAFA"/>
          </w:tcPr>
          <w:p>
            <w:r/>
            <w:r>
              <w:rPr>
                <w:rFonts w:ascii="Arial" w:hAnsi="Arial"/>
                <w:b w:val="0"/>
                <w:sz w:val="17"/>
              </w:rPr>
              <w:t>ELK/Kibana, Prometheus and Jaeger</w:t>
            </w:r>
          </w:p>
        </w:tc>
      </w:tr>
      <w:tr>
        <w:tc>
          <w:tcPr>
            <w:tcW w:type="dxa" w:w="3024"/>
            <w:vAlign w:val="center"/>
          </w:tcPr>
          <w:p>
            <w:r/>
            <w:r>
              <w:rPr>
                <w:rFonts w:ascii="Arial" w:hAnsi="Arial"/>
                <w:b w:val="0"/>
                <w:sz w:val="17"/>
              </w:rPr>
              <w:t>Source and deployment</w:t>
            </w:r>
          </w:p>
        </w:tc>
        <w:tc>
          <w:tcPr>
            <w:tcW w:type="dxa" w:w="6768"/>
            <w:vAlign w:val="center"/>
          </w:tcPr>
          <w:p>
            <w:r/>
            <w:r>
              <w:rPr>
                <w:rFonts w:ascii="Arial" w:hAnsi="Arial"/>
                <w:b w:val="0"/>
                <w:sz w:val="17"/>
              </w:rPr>
              <w:t>Bitbucket and GoCD</w:t>
            </w:r>
          </w:p>
        </w:tc>
      </w:tr>
    </w:tbl>
    <w:p>
      <w:pPr>
        <w:spacing w:after="0"/>
      </w:pPr>
    </w:p>
    <w:p>
      <w:pPr>
        <w:jc w:val="center"/>
      </w:pPr>
      <w:r>
        <w:drawing>
          <wp:inline xmlns:a="http://schemas.openxmlformats.org/drawingml/2006/main" xmlns:pic="http://schemas.openxmlformats.org/drawingml/2006/picture">
            <wp:extent cx="6263640" cy="3937145"/>
            <wp:docPr id="12" name="Generalised API Platform technology stack including direct FinnOne Oracle Database integration" descr="Generalised API Platform technology stack including direct FinnOne Oracle Database integration"/>
            <wp:cNvGraphicFramePr>
              <a:graphicFrameLocks noChangeAspect="1"/>
            </wp:cNvGraphicFramePr>
            <a:graphic>
              <a:graphicData uri="http://schemas.openxmlformats.org/drawingml/2006/picture">
                <pic:pic>
                  <pic:nvPicPr>
                    <pic:cNvPr id="0" name="api_platform_generalised_stack_oracle.png"/>
                    <pic:cNvPicPr/>
                  </pic:nvPicPr>
                  <pic:blipFill>
                    <a:blip r:embed="rId12"/>
                    <a:stretch>
                      <a:fillRect/>
                    </a:stretch>
                  </pic:blipFill>
                  <pic:spPr>
                    <a:xfrm>
                      <a:off x="0" y="0"/>
                      <a:ext cx="6263640" cy="3937145"/>
                    </a:xfrm>
                    <a:prstGeom prst="rect"/>
                  </pic:spPr>
                </pic:pic>
              </a:graphicData>
            </a:graphic>
          </wp:inline>
        </w:drawing>
      </w:r>
    </w:p>
    <w:p>
      <w:pPr>
        <w:pStyle w:val="Caption"/>
        <w:jc w:val="center"/>
      </w:pPr>
      <w:r>
        <w:t>Figure 1 - Generalised API Platform technology stack and reusable project pattern.</w:t>
      </w:r>
    </w:p>
    <w:p>
      <w:r>
        <w:br w:type="page"/>
      </w:r>
    </w:p>
    <w:p>
      <w:pPr>
        <w:pStyle w:val="Heading1"/>
      </w:pPr>
      <w:r>
        <w:t>4. Environment and EKS Deployment Model</w:t>
      </w:r>
    </w:p>
    <w:p>
      <w:r>
        <w:t>Each environment is hosted on a separate Amazon EKS cluster. Non-production workloads use the non-production AWS account; PROD and DR use the production AWS account. AWS account IDs are intentionally omitted from this document.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A6192E"/>
          </w:tcPr>
          <w:p>
            <w:r/>
            <w:r>
              <w:rPr>
                <w:rFonts w:ascii="Arial" w:hAnsi="Arial"/>
                <w:b/>
                <w:color w:val="FFFFFF"/>
                <w:sz w:val="15"/>
              </w:rPr>
              <w:t>Environment</w:t>
            </w:r>
          </w:p>
        </w:tc>
        <w:tc>
          <w:tcPr>
            <w:tcW w:type="dxa" w:w="1944"/>
            <w:vAlign w:val="center"/>
            <w:shd w:fill="A6192E"/>
          </w:tcPr>
          <w:p>
            <w:r/>
            <w:r>
              <w:rPr>
                <w:rFonts w:ascii="Arial" w:hAnsi="Arial"/>
                <w:b/>
                <w:color w:val="FFFFFF"/>
                <w:sz w:val="15"/>
              </w:rPr>
              <w:t>AWS Region</w:t>
            </w:r>
          </w:p>
        </w:tc>
        <w:tc>
          <w:tcPr>
            <w:tcW w:type="dxa" w:w="3600"/>
            <w:vAlign w:val="center"/>
            <w:shd w:fill="A6192E"/>
          </w:tcPr>
          <w:p>
            <w:r/>
            <w:r>
              <w:rPr>
                <w:rFonts w:ascii="Arial" w:hAnsi="Arial"/>
                <w:b/>
                <w:color w:val="FFFFFF"/>
                <w:sz w:val="15"/>
              </w:rPr>
              <w:t>EKS Cluster</w:t>
            </w:r>
          </w:p>
        </w:tc>
        <w:tc>
          <w:tcPr>
            <w:tcW w:type="dxa" w:w="3312"/>
            <w:vAlign w:val="center"/>
            <w:shd w:fill="A6192E"/>
          </w:tcPr>
          <w:p>
            <w:r/>
            <w:r>
              <w:rPr>
                <w:rFonts w:ascii="Arial" w:hAnsi="Arial"/>
                <w:b/>
                <w:color w:val="FFFFFF"/>
                <w:sz w:val="15"/>
              </w:rPr>
              <w:t>Deployment Notes</w:t>
            </w:r>
          </w:p>
        </w:tc>
      </w:tr>
      <w:tr>
        <w:tc>
          <w:tcPr>
            <w:tcW w:type="dxa" w:w="1440"/>
            <w:vAlign w:val="center"/>
          </w:tcPr>
          <w:p>
            <w:r/>
            <w:r>
              <w:rPr>
                <w:rFonts w:ascii="Arial" w:hAnsi="Arial"/>
                <w:b w:val="0"/>
                <w:sz w:val="15"/>
              </w:rPr>
              <w:t>DEV</w:t>
            </w:r>
          </w:p>
        </w:tc>
        <w:tc>
          <w:tcPr>
            <w:tcW w:type="dxa" w:w="1944"/>
            <w:vAlign w:val="center"/>
          </w:tcPr>
          <w:p>
            <w:r/>
            <w:r>
              <w:rPr>
                <w:rFonts w:ascii="Arial" w:hAnsi="Arial"/>
                <w:b w:val="0"/>
                <w:sz w:val="15"/>
              </w:rPr>
              <w:t>ap-south-1 (Mumbai)</w:t>
            </w:r>
          </w:p>
        </w:tc>
        <w:tc>
          <w:tcPr>
            <w:tcW w:type="dxa" w:w="3600"/>
            <w:vAlign w:val="center"/>
          </w:tcPr>
          <w:p>
            <w:r/>
            <w:r>
              <w:rPr>
                <w:rFonts w:ascii="Arial" w:hAnsi="Arial"/>
                <w:b w:val="0"/>
                <w:sz w:val="15"/>
              </w:rPr>
              <w:t>dcawsapifactoryjavadev001</w:t>
            </w:r>
          </w:p>
        </w:tc>
        <w:tc>
          <w:tcPr>
            <w:tcW w:type="dxa" w:w="3312"/>
            <w:vAlign w:val="center"/>
          </w:tcPr>
          <w:p>
            <w:r/>
            <w:r>
              <w:rPr>
                <w:rFonts w:ascii="Arial" w:hAnsi="Arial"/>
                <w:b w:val="0"/>
                <w:sz w:val="15"/>
              </w:rPr>
              <w:t>Separate non-production cluster</w:t>
            </w:r>
          </w:p>
        </w:tc>
      </w:tr>
      <w:tr>
        <w:tc>
          <w:tcPr>
            <w:tcW w:type="dxa" w:w="1440"/>
            <w:vAlign w:val="center"/>
            <w:shd w:fill="FAFAFA"/>
          </w:tcPr>
          <w:p>
            <w:r/>
            <w:r>
              <w:rPr>
                <w:rFonts w:ascii="Arial" w:hAnsi="Arial"/>
                <w:b w:val="0"/>
                <w:sz w:val="15"/>
              </w:rPr>
              <w:t>SIT</w:t>
            </w:r>
          </w:p>
        </w:tc>
        <w:tc>
          <w:tcPr>
            <w:tcW w:type="dxa" w:w="1944"/>
            <w:vAlign w:val="center"/>
            <w:shd w:fill="FAFAFA"/>
          </w:tcPr>
          <w:p>
            <w:r/>
            <w:r>
              <w:rPr>
                <w:rFonts w:ascii="Arial" w:hAnsi="Arial"/>
                <w:b w:val="0"/>
                <w:sz w:val="15"/>
              </w:rPr>
              <w:t>ap-south-1 (Mumbai)</w:t>
            </w:r>
          </w:p>
        </w:tc>
        <w:tc>
          <w:tcPr>
            <w:tcW w:type="dxa" w:w="3600"/>
            <w:vAlign w:val="center"/>
            <w:shd w:fill="FAFAFA"/>
          </w:tcPr>
          <w:p>
            <w:r/>
            <w:r>
              <w:rPr>
                <w:rFonts w:ascii="Arial" w:hAnsi="Arial"/>
                <w:b w:val="0"/>
                <w:sz w:val="15"/>
              </w:rPr>
              <w:t>dcawsapifactoryjavasit001</w:t>
            </w:r>
          </w:p>
        </w:tc>
        <w:tc>
          <w:tcPr>
            <w:tcW w:type="dxa" w:w="3312"/>
            <w:vAlign w:val="center"/>
            <w:shd w:fill="FAFAFA"/>
          </w:tcPr>
          <w:p>
            <w:r/>
            <w:r>
              <w:rPr>
                <w:rFonts w:ascii="Arial" w:hAnsi="Arial"/>
                <w:b w:val="0"/>
                <w:sz w:val="15"/>
              </w:rPr>
              <w:t>Separate non-production cluster</w:t>
            </w:r>
          </w:p>
        </w:tc>
      </w:tr>
      <w:tr>
        <w:tc>
          <w:tcPr>
            <w:tcW w:type="dxa" w:w="1440"/>
            <w:vAlign w:val="center"/>
          </w:tcPr>
          <w:p>
            <w:r/>
            <w:r>
              <w:rPr>
                <w:rFonts w:ascii="Arial" w:hAnsi="Arial"/>
                <w:b w:val="0"/>
                <w:sz w:val="15"/>
              </w:rPr>
              <w:t>UAT</w:t>
            </w:r>
          </w:p>
        </w:tc>
        <w:tc>
          <w:tcPr>
            <w:tcW w:type="dxa" w:w="1944"/>
            <w:vAlign w:val="center"/>
          </w:tcPr>
          <w:p>
            <w:r/>
            <w:r>
              <w:rPr>
                <w:rFonts w:ascii="Arial" w:hAnsi="Arial"/>
                <w:b w:val="0"/>
                <w:sz w:val="15"/>
              </w:rPr>
              <w:t>ap-south-1 (Mumbai)</w:t>
            </w:r>
          </w:p>
        </w:tc>
        <w:tc>
          <w:tcPr>
            <w:tcW w:type="dxa" w:w="3600"/>
            <w:vAlign w:val="center"/>
          </w:tcPr>
          <w:p>
            <w:r/>
            <w:r>
              <w:rPr>
                <w:rFonts w:ascii="Arial" w:hAnsi="Arial"/>
                <w:b w:val="0"/>
                <w:sz w:val="15"/>
              </w:rPr>
              <w:t>dcawsapifactoryjavauat001</w:t>
            </w:r>
          </w:p>
        </w:tc>
        <w:tc>
          <w:tcPr>
            <w:tcW w:type="dxa" w:w="3312"/>
            <w:vAlign w:val="center"/>
          </w:tcPr>
          <w:p>
            <w:r/>
            <w:r>
              <w:rPr>
                <w:rFonts w:ascii="Arial" w:hAnsi="Arial"/>
                <w:b w:val="0"/>
                <w:sz w:val="15"/>
              </w:rPr>
              <w:t>Separate non-production cluster</w:t>
            </w:r>
          </w:p>
        </w:tc>
      </w:tr>
      <w:tr>
        <w:tc>
          <w:tcPr>
            <w:tcW w:type="dxa" w:w="1440"/>
            <w:vAlign w:val="center"/>
            <w:shd w:fill="FAFAFA"/>
          </w:tcPr>
          <w:p>
            <w:r/>
            <w:r>
              <w:rPr>
                <w:rFonts w:ascii="Arial" w:hAnsi="Arial"/>
                <w:b w:val="0"/>
                <w:sz w:val="15"/>
              </w:rPr>
              <w:t>PRE-PROD</w:t>
            </w:r>
          </w:p>
        </w:tc>
        <w:tc>
          <w:tcPr>
            <w:tcW w:type="dxa" w:w="1944"/>
            <w:vAlign w:val="center"/>
            <w:shd w:fill="FAFAFA"/>
          </w:tcPr>
          <w:p>
            <w:r/>
            <w:r>
              <w:rPr>
                <w:rFonts w:ascii="Arial" w:hAnsi="Arial"/>
                <w:b w:val="0"/>
                <w:sz w:val="15"/>
              </w:rPr>
              <w:t>ap-south-1 (Mumbai)</w:t>
            </w:r>
          </w:p>
        </w:tc>
        <w:tc>
          <w:tcPr>
            <w:tcW w:type="dxa" w:w="3600"/>
            <w:vAlign w:val="center"/>
            <w:shd w:fill="FAFAFA"/>
          </w:tcPr>
          <w:p>
            <w:r/>
            <w:r>
              <w:rPr>
                <w:rFonts w:ascii="Arial" w:hAnsi="Arial"/>
                <w:b w:val="0"/>
                <w:sz w:val="15"/>
              </w:rPr>
              <w:t>dcawsapifactoryjavapreprod001</w:t>
            </w:r>
          </w:p>
        </w:tc>
        <w:tc>
          <w:tcPr>
            <w:tcW w:type="dxa" w:w="3312"/>
            <w:vAlign w:val="center"/>
            <w:shd w:fill="FAFAFA"/>
          </w:tcPr>
          <w:p>
            <w:r/>
            <w:r>
              <w:rPr>
                <w:rFonts w:ascii="Arial" w:hAnsi="Arial"/>
                <w:b w:val="0"/>
                <w:sz w:val="15"/>
              </w:rPr>
              <w:t>Separate non-production cluster</w:t>
            </w:r>
          </w:p>
        </w:tc>
      </w:tr>
      <w:tr>
        <w:tc>
          <w:tcPr>
            <w:tcW w:type="dxa" w:w="1440"/>
            <w:vAlign w:val="center"/>
          </w:tcPr>
          <w:p>
            <w:r/>
            <w:r>
              <w:rPr>
                <w:rFonts w:ascii="Arial" w:hAnsi="Arial"/>
                <w:b w:val="0"/>
                <w:sz w:val="15"/>
              </w:rPr>
              <w:t>PROD</w:t>
            </w:r>
          </w:p>
        </w:tc>
        <w:tc>
          <w:tcPr>
            <w:tcW w:type="dxa" w:w="1944"/>
            <w:vAlign w:val="center"/>
          </w:tcPr>
          <w:p>
            <w:r/>
            <w:r>
              <w:rPr>
                <w:rFonts w:ascii="Arial" w:hAnsi="Arial"/>
                <w:b w:val="0"/>
                <w:sz w:val="15"/>
              </w:rPr>
              <w:t>ap-south-1 (Mumbai)</w:t>
            </w:r>
          </w:p>
        </w:tc>
        <w:tc>
          <w:tcPr>
            <w:tcW w:type="dxa" w:w="3600"/>
            <w:vAlign w:val="center"/>
          </w:tcPr>
          <w:p>
            <w:r/>
            <w:r>
              <w:rPr>
                <w:rFonts w:ascii="Arial" w:hAnsi="Arial"/>
                <w:b w:val="0"/>
                <w:sz w:val="15"/>
              </w:rPr>
              <w:t>dcawsapifactoryjavaprod001</w:t>
            </w:r>
          </w:p>
        </w:tc>
        <w:tc>
          <w:tcPr>
            <w:tcW w:type="dxa" w:w="3312"/>
            <w:vAlign w:val="center"/>
          </w:tcPr>
          <w:p>
            <w:r/>
            <w:r>
              <w:rPr>
                <w:rFonts w:ascii="Arial" w:hAnsi="Arial"/>
                <w:b w:val="0"/>
                <w:sz w:val="15"/>
              </w:rPr>
              <w:t>Separate production VPC; three Availability Zones</w:t>
            </w:r>
          </w:p>
        </w:tc>
      </w:tr>
      <w:tr>
        <w:tc>
          <w:tcPr>
            <w:tcW w:type="dxa" w:w="1440"/>
            <w:vAlign w:val="center"/>
            <w:shd w:fill="FAFAFA"/>
          </w:tcPr>
          <w:p>
            <w:r/>
            <w:r>
              <w:rPr>
                <w:rFonts w:ascii="Arial" w:hAnsi="Arial"/>
                <w:b w:val="0"/>
                <w:sz w:val="15"/>
              </w:rPr>
              <w:t>DR</w:t>
            </w:r>
          </w:p>
        </w:tc>
        <w:tc>
          <w:tcPr>
            <w:tcW w:type="dxa" w:w="1944"/>
            <w:vAlign w:val="center"/>
            <w:shd w:fill="FAFAFA"/>
          </w:tcPr>
          <w:p>
            <w:r/>
            <w:r>
              <w:rPr>
                <w:rFonts w:ascii="Arial" w:hAnsi="Arial"/>
                <w:b w:val="0"/>
                <w:sz w:val="15"/>
              </w:rPr>
              <w:t>ap-south-2 (Hyderabad)</w:t>
            </w:r>
          </w:p>
        </w:tc>
        <w:tc>
          <w:tcPr>
            <w:tcW w:type="dxa" w:w="3600"/>
            <w:vAlign w:val="center"/>
            <w:shd w:fill="FAFAFA"/>
          </w:tcPr>
          <w:p>
            <w:r/>
            <w:r>
              <w:rPr>
                <w:rFonts w:ascii="Arial" w:hAnsi="Arial"/>
                <w:b w:val="0"/>
                <w:sz w:val="15"/>
              </w:rPr>
              <w:t>drawsapifactoryjavaprod001</w:t>
            </w:r>
          </w:p>
        </w:tc>
        <w:tc>
          <w:tcPr>
            <w:tcW w:type="dxa" w:w="3312"/>
            <w:vAlign w:val="center"/>
            <w:shd w:fill="FAFAFA"/>
          </w:tcPr>
          <w:p>
            <w:r/>
            <w:r>
              <w:rPr>
                <w:rFonts w:ascii="Arial" w:hAnsi="Arial"/>
                <w:b w:val="0"/>
                <w:sz w:val="15"/>
              </w:rPr>
              <w:t>Separate DR VPC and cluster; three Availability Zones</w:t>
            </w:r>
          </w:p>
        </w:tc>
      </w:tr>
    </w:tbl>
    <w:p>
      <w:pPr>
        <w:spacing w:after="0"/>
      </w:pPr>
    </w:p>
    <w:p>
      <w:pPr>
        <w:pStyle w:val="ListBullet"/>
        <w:spacing w:after="40"/>
      </w:pPr>
      <w:r>
        <w:t>Kubernetes version: 1.34 across the confirmed cluster inventory.</w:t>
      </w:r>
    </w:p>
    <w:p>
      <w:pPr>
        <w:pStyle w:val="ListBullet"/>
        <w:spacing w:after="40"/>
      </w:pPr>
      <w:r>
        <w:t>PROD and DR are separate EKS clusters in different regions and different VPCs, within the same production AWS account.</w:t>
      </w:r>
    </w:p>
    <w:p>
      <w:pPr>
        <w:pStyle w:val="ListBullet"/>
        <w:spacing w:after="40"/>
      </w:pPr>
      <w:r>
        <w:t>Readiness and liveness probes are configured for production microservices.</w:t>
      </w:r>
    </w:p>
    <w:p>
      <w:pPr>
        <w:jc w:val="center"/>
      </w:pPr>
      <w:r>
        <w:drawing>
          <wp:inline xmlns:a="http://schemas.openxmlformats.org/drawingml/2006/main" xmlns:pic="http://schemas.openxmlformats.org/drawingml/2006/picture">
            <wp:extent cx="6400800" cy="3840480"/>
            <wp:docPr id="13" name="Environment and disaster recovery deployment topology using AWS Global Accelerator" descr="Environment and disaster recovery deployment topology using AWS Global Accelerator"/>
            <wp:cNvGraphicFramePr>
              <a:graphicFrameLocks noChangeAspect="1"/>
            </wp:cNvGraphicFramePr>
            <a:graphic>
              <a:graphicData uri="http://schemas.openxmlformats.org/drawingml/2006/picture">
                <pic:pic>
                  <pic:nvPicPr>
                    <pic:cNvPr id="0" name="api_platform_environment_dr_clean.png"/>
                    <pic:cNvPicPr/>
                  </pic:nvPicPr>
                  <pic:blipFill>
                    <a:blip r:embed="rId13"/>
                    <a:stretch>
                      <a:fillRect/>
                    </a:stretch>
                  </pic:blipFill>
                  <pic:spPr>
                    <a:xfrm>
                      <a:off x="0" y="0"/>
                      <a:ext cx="6400800" cy="3840480"/>
                    </a:xfrm>
                    <a:prstGeom prst="rect"/>
                  </pic:spPr>
                </pic:pic>
              </a:graphicData>
            </a:graphic>
          </wp:inline>
        </w:drawing>
      </w:r>
    </w:p>
    <w:p>
      <w:pPr>
        <w:pStyle w:val="Caption"/>
        <w:jc w:val="center"/>
      </w:pPr>
      <w:r>
        <w:t>Figure 2 - Confirmed environment, promotion and disaster-recovery deployment topology.</w:t>
      </w:r>
    </w:p>
    <w:p>
      <w:r>
        <w:br w:type="page"/>
      </w:r>
    </w:p>
    <w:p>
      <w:pPr>
        <w:pStyle w:val="Heading1"/>
      </w:pPr>
      <w:r>
        <w:t>5. High-Level Architecture and Data Flow</w:t>
      </w:r>
    </w:p>
    <w:p>
      <w:r>
        <w:rPr>
          <w:b w:val="0"/>
        </w:rPr>
        <w:t>Internal bank systems and external partners connect inbound to the API Platform through Kong. Authentication and authorisation are provided through Ory Hydra using OAuth 2.0. API workloads run as Java 21 / Spring Boot 3.5 microservices on Amazon EKS and interact with Aerospike, Oracle Database (FinnOne), Amazon MSK and Amazon S3. Approved outbound API calls from EKS services use the Kong egress path to reach external providers such as Aadhaar Vault/UIDAI, NSDL/CERSAI and other approved services.</w:t>
      </w:r>
    </w:p>
    <w:p>
      <w:r>
        <w:t>HTTPS/TLS is used between consumers, Kong and backend services. The platform processes customer data, transaction data, PII, authentication data and general business data. PII and sensitive data are encrypted in accordance with data classification requirements.</w:t>
      </w:r>
    </w:p>
    <w:p>
      <w:pPr>
        <w:jc w:val="center"/>
      </w:pPr>
      <w:r>
        <w:drawing>
          <wp:inline xmlns:a="http://schemas.openxmlformats.org/drawingml/2006/main" xmlns:pic="http://schemas.openxmlformats.org/drawingml/2006/picture">
            <wp:extent cx="6400800" cy="3307080"/>
            <wp:docPr id="14" name="High-level API data flow including direct FinnOne Oracle Database integration" descr="High-level API data flow including direct FinnOne Oracle Database integration"/>
            <wp:cNvGraphicFramePr>
              <a:graphicFrameLocks noChangeAspect="1"/>
            </wp:cNvGraphicFramePr>
            <a:graphic>
              <a:graphicData uri="http://schemas.openxmlformats.org/drawingml/2006/picture">
                <pic:pic>
                  <pic:nvPicPr>
                    <pic:cNvPr id="0" name="api_platform_high_level_data_flow_oracle.png"/>
                    <pic:cNvPicPr/>
                  </pic:nvPicPr>
                  <pic:blipFill>
                    <a:blip r:embed="rId14"/>
                    <a:stretch>
                      <a:fillRect/>
                    </a:stretch>
                  </pic:blipFill>
                  <pic:spPr>
                    <a:xfrm>
                      <a:off x="0" y="0"/>
                      <a:ext cx="6400800" cy="3307080"/>
                    </a:xfrm>
                    <a:prstGeom prst="rect"/>
                  </pic:spPr>
                </pic:pic>
              </a:graphicData>
            </a:graphic>
          </wp:inline>
        </w:drawing>
      </w:r>
    </w:p>
    <w:p>
      <w:pPr>
        <w:pStyle w:val="Caption"/>
        <w:jc w:val="center"/>
      </w:pPr>
      <w:r>
        <w:t>Figure 3 - High-level API request, authentication, data and observability flow.</w:t>
      </w:r>
    </w:p>
    <w:p>
      <w:pPr>
        <w:pStyle w:val="Heading2"/>
      </w:pPr>
      <w:r>
        <w:t>5.1 Security and Responsibility Boundaries</w:t>
      </w:r>
    </w:p>
    <w:p>
      <w:pPr>
        <w:spacing w:after="40"/>
      </w:pPr>
      <w:r>
        <w:rPr>
          <w:b w:val="0"/>
        </w:rPr>
        <w:t>The API Platform is divided into distinct security and operational responsibility areas. Inbound requests pass from consumers and partner systems through the API gateway and identity layers before reaching Java 21 / Spring Boot 3.5 services hosted in Amazon EKS. Application services access Aerospike, Oracle Database (FinnOne), Amazon MSK and Amazon S3 according to approved access controls. Outbound calls to approved external providers pass through the Kong egress path. Logs, metrics and traces are forwarded to the central monitoring tools used by the BTO Team.</w:t>
      </w:r>
    </w:p>
    <w:p>
      <w:r>
        <w:br w:type="page"/>
      </w:r>
    </w:p>
    <w:p>
      <w:pPr>
        <w:pStyle w:val="Heading1"/>
      </w:pPr>
      <w:r>
        <w:t>6. Application Runtime and Container Architecture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A6192E"/>
          </w:tcPr>
          <w:p>
            <w:r/>
            <w:r>
              <w:rPr>
                <w:rFonts w:ascii="Arial" w:hAnsi="Arial"/>
                <w:b/>
                <w:color w:val="FFFFFF"/>
                <w:sz w:val="17"/>
              </w:rPr>
              <w:t>Control Area</w:t>
            </w:r>
          </w:p>
        </w:tc>
        <w:tc>
          <w:tcPr>
            <w:tcW w:type="dxa" w:w="6912"/>
            <w:vAlign w:val="center"/>
            <w:shd w:fill="A6192E"/>
          </w:tcPr>
          <w:p>
            <w:r/>
            <w:r>
              <w:rPr>
                <w:rFonts w:ascii="Arial" w:hAnsi="Arial"/>
                <w:b/>
                <w:color w:val="FFFFFF"/>
                <w:sz w:val="17"/>
              </w:rPr>
              <w:t>Implementation</w:t>
            </w:r>
          </w:p>
        </w:tc>
      </w:tr>
      <w:tr>
        <w:tc>
          <w:tcPr>
            <w:tcW w:type="dxa" w:w="2880"/>
            <w:vAlign w:val="center"/>
          </w:tcPr>
          <w:p>
            <w:r/>
            <w:r>
              <w:rPr>
                <w:rFonts w:ascii="Arial" w:hAnsi="Arial"/>
                <w:b w:val="0"/>
                <w:sz w:val="17"/>
              </w:rPr>
              <w:t>Runtime standard</w:t>
            </w:r>
          </w:p>
        </w:tc>
        <w:tc>
          <w:tcPr>
            <w:tcW w:type="dxa" w:w="6912"/>
            <w:vAlign w:val="center"/>
          </w:tcPr>
          <w:p>
            <w:r/>
            <w:r>
              <w:rPr>
                <w:rFonts w:ascii="Arial" w:hAnsi="Arial"/>
                <w:b w:val="0"/>
                <w:sz w:val="17"/>
              </w:rPr>
              <w:t>Java 21 and Spring Boot 3.5.</w:t>
            </w:r>
          </w:p>
        </w:tc>
      </w:tr>
      <w:tr>
        <w:tc>
          <w:tcPr>
            <w:tcW w:type="dxa" w:w="2880"/>
            <w:vAlign w:val="center"/>
            <w:shd w:fill="FAFAFA"/>
          </w:tcPr>
          <w:p>
            <w:r/>
            <w:r>
              <w:rPr>
                <w:rFonts w:ascii="Arial" w:hAnsi="Arial"/>
                <w:b w:val="0"/>
                <w:sz w:val="17"/>
              </w:rPr>
              <w:t>Orchestration</w:t>
            </w:r>
          </w:p>
        </w:tc>
        <w:tc>
          <w:tcPr>
            <w:tcW w:type="dxa" w:w="6912"/>
            <w:vAlign w:val="center"/>
            <w:shd w:fill="FAFAFA"/>
          </w:tcPr>
          <w:p>
            <w:r/>
            <w:r>
              <w:rPr>
                <w:rFonts w:ascii="Arial" w:hAnsi="Arial"/>
                <w:b w:val="0"/>
                <w:sz w:val="17"/>
              </w:rPr>
              <w:t>Amazon EKS / Kubernetes 1.34.</w:t>
            </w:r>
          </w:p>
        </w:tc>
      </w:tr>
      <w:tr>
        <w:tc>
          <w:tcPr>
            <w:tcW w:type="dxa" w:w="2880"/>
            <w:vAlign w:val="center"/>
          </w:tcPr>
          <w:p>
            <w:r/>
            <w:r>
              <w:rPr>
                <w:rFonts w:ascii="Arial" w:hAnsi="Arial"/>
                <w:b w:val="0"/>
                <w:sz w:val="17"/>
              </w:rPr>
              <w:t>Environment separation</w:t>
            </w:r>
          </w:p>
        </w:tc>
        <w:tc>
          <w:tcPr>
            <w:tcW w:type="dxa" w:w="6912"/>
            <w:vAlign w:val="center"/>
          </w:tcPr>
          <w:p>
            <w:r/>
            <w:r>
              <w:rPr>
                <w:rFonts w:ascii="Arial" w:hAnsi="Arial"/>
                <w:b w:val="0"/>
                <w:sz w:val="17"/>
              </w:rPr>
              <w:t>Separate EKS cluster for each environment.</w:t>
            </w:r>
          </w:p>
        </w:tc>
      </w:tr>
      <w:tr>
        <w:tc>
          <w:tcPr>
            <w:tcW w:type="dxa" w:w="2880"/>
            <w:vAlign w:val="center"/>
            <w:shd w:fill="FAFAFA"/>
          </w:tcPr>
          <w:p>
            <w:r/>
            <w:r>
              <w:rPr>
                <w:rFonts w:ascii="Arial" w:hAnsi="Arial"/>
                <w:b w:val="0"/>
                <w:sz w:val="17"/>
              </w:rPr>
              <w:t>Health management</w:t>
            </w:r>
          </w:p>
        </w:tc>
        <w:tc>
          <w:tcPr>
            <w:tcW w:type="dxa" w:w="6912"/>
            <w:vAlign w:val="center"/>
            <w:shd w:fill="FAFAFA"/>
          </w:tcPr>
          <w:p>
            <w:r/>
            <w:r>
              <w:rPr>
                <w:rFonts w:ascii="Arial" w:hAnsi="Arial"/>
                <w:b w:val="0"/>
                <w:sz w:val="17"/>
              </w:rPr>
              <w:t>Readiness and liveness probes are configured for production microservices.</w:t>
            </w:r>
          </w:p>
        </w:tc>
      </w:tr>
      <w:tr>
        <w:tc>
          <w:tcPr>
            <w:tcW w:type="dxa" w:w="2880"/>
            <w:vAlign w:val="center"/>
          </w:tcPr>
          <w:p>
            <w:r/>
            <w:r>
              <w:rPr>
                <w:rFonts w:ascii="Arial" w:hAnsi="Arial"/>
                <w:b w:val="0"/>
                <w:sz w:val="17"/>
              </w:rPr>
              <w:t>Deployment strategy</w:t>
            </w:r>
          </w:p>
        </w:tc>
        <w:tc>
          <w:tcPr>
            <w:tcW w:type="dxa" w:w="6912"/>
            <w:vAlign w:val="center"/>
          </w:tcPr>
          <w:p>
            <w:r/>
            <w:r>
              <w:rPr>
                <w:rFonts w:ascii="Arial" w:hAnsi="Arial"/>
                <w:b w:val="0"/>
                <w:sz w:val="17"/>
              </w:rPr>
              <w:t>Kubernetes rolling update. Existing healthy pods continue serving until new pods become ready.</w:t>
            </w:r>
          </w:p>
        </w:tc>
      </w:tr>
      <w:tr>
        <w:tc>
          <w:tcPr>
            <w:tcW w:type="dxa" w:w="2880"/>
            <w:vAlign w:val="center"/>
            <w:shd w:fill="FAFAFA"/>
          </w:tcPr>
          <w:p>
            <w:r/>
            <w:r>
              <w:rPr>
                <w:rFonts w:ascii="Arial" w:hAnsi="Arial"/>
                <w:b w:val="0"/>
                <w:sz w:val="17"/>
              </w:rPr>
              <w:t>Container registry</w:t>
            </w:r>
          </w:p>
        </w:tc>
        <w:tc>
          <w:tcPr>
            <w:tcW w:type="dxa" w:w="6912"/>
            <w:vAlign w:val="center"/>
            <w:shd w:fill="FAFAFA"/>
          </w:tcPr>
          <w:p>
            <w:r/>
            <w:r>
              <w:rPr>
                <w:rFonts w:ascii="Arial" w:hAnsi="Arial"/>
                <w:b w:val="0"/>
                <w:sz w:val="17"/>
              </w:rPr>
              <w:t>Amazon ECR.</w:t>
            </w:r>
          </w:p>
        </w:tc>
      </w:tr>
      <w:tr>
        <w:tc>
          <w:tcPr>
            <w:tcW w:type="dxa" w:w="2880"/>
            <w:vAlign w:val="center"/>
          </w:tcPr>
          <w:p>
            <w:r/>
            <w:r>
              <w:rPr>
                <w:rFonts w:ascii="Arial" w:hAnsi="Arial"/>
                <w:b w:val="0"/>
                <w:sz w:val="17"/>
              </w:rPr>
              <w:t>Image consistency</w:t>
            </w:r>
          </w:p>
        </w:tc>
        <w:tc>
          <w:tcPr>
            <w:tcW w:type="dxa" w:w="6912"/>
            <w:vAlign w:val="center"/>
          </w:tcPr>
          <w:p>
            <w:r/>
            <w:r>
              <w:rPr>
                <w:rFonts w:ascii="Arial" w:hAnsi="Arial"/>
                <w:b w:val="0"/>
                <w:sz w:val="17"/>
              </w:rPr>
              <w:t>The same approved container image is promoted across all environments and is not rebuilt per environment.</w:t>
            </w:r>
          </w:p>
        </w:tc>
      </w:tr>
    </w:tbl>
    <w:p>
      <w:pPr>
        <w:spacing w:after="0"/>
      </w:pPr>
    </w:p>
    <w:p>
      <w:r>
        <w:t>During a rolling deployment, the existing healthy application version remains available until the new pods start successfully and satisfy readiness checks. If the new pods do not become ready, the rollout does not complete and the previous healthy pods continue to serve traffic. This statement does not imply an automatic image-version rollback unless separately initiated.</w:t>
      </w:r>
    </w:p>
    <w:p>
      <w:pPr>
        <w:pStyle w:val="Heading1"/>
      </w:pPr>
      <w:r>
        <w:t>7. Authentication and Data Protection</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A6192E"/>
          </w:tcPr>
          <w:p>
            <w:r/>
            <w:r>
              <w:rPr>
                <w:rFonts w:ascii="Arial" w:hAnsi="Arial"/>
                <w:b/>
                <w:color w:val="FFFFFF"/>
                <w:sz w:val="16"/>
              </w:rPr>
              <w:t>Control</w:t>
            </w:r>
          </w:p>
        </w:tc>
        <w:tc>
          <w:tcPr>
            <w:tcW w:type="dxa" w:w="5040"/>
            <w:vAlign w:val="center"/>
            <w:shd w:fill="A6192E"/>
          </w:tcPr>
          <w:p>
            <w:r/>
            <w:r>
              <w:rPr>
                <w:rFonts w:ascii="Arial" w:hAnsi="Arial"/>
                <w:b/>
                <w:color w:val="FFFFFF"/>
                <w:sz w:val="16"/>
              </w:rPr>
              <w:t>Implementation</w:t>
            </w:r>
          </w:p>
        </w:tc>
        <w:tc>
          <w:tcPr>
            <w:tcW w:type="dxa" w:w="2304"/>
            <w:vAlign w:val="center"/>
            <w:shd w:fill="A6192E"/>
          </w:tcPr>
          <w:p>
            <w:r/>
            <w:r>
              <w:rPr>
                <w:rFonts w:ascii="Arial" w:hAnsi="Arial"/>
                <w:b/>
                <w:color w:val="FFFFFF"/>
                <w:sz w:val="16"/>
              </w:rPr>
              <w:t>Owner / Boundary</w:t>
            </w:r>
          </w:p>
        </w:tc>
      </w:tr>
      <w:tr>
        <w:tc>
          <w:tcPr>
            <w:tcW w:type="dxa" w:w="2448"/>
            <w:vAlign w:val="center"/>
          </w:tcPr>
          <w:p>
            <w:r/>
            <w:r>
              <w:rPr>
                <w:rFonts w:ascii="Arial" w:hAnsi="Arial"/>
                <w:b w:val="0"/>
                <w:sz w:val="16"/>
              </w:rPr>
              <w:t>API authentication and authorisation</w:t>
            </w:r>
          </w:p>
        </w:tc>
        <w:tc>
          <w:tcPr>
            <w:tcW w:type="dxa" w:w="5040"/>
            <w:vAlign w:val="center"/>
          </w:tcPr>
          <w:p>
            <w:r/>
            <w:r>
              <w:rPr>
                <w:rFonts w:ascii="Arial" w:hAnsi="Arial"/>
                <w:b w:val="0"/>
                <w:sz w:val="16"/>
              </w:rPr>
              <w:t>Ory Hydra using OAuth 2.0</w:t>
            </w:r>
          </w:p>
        </w:tc>
        <w:tc>
          <w:tcPr>
            <w:tcW w:type="dxa" w:w="2304"/>
            <w:vAlign w:val="center"/>
          </w:tcPr>
          <w:p>
            <w:r/>
            <w:r>
              <w:rPr>
                <w:rFonts w:ascii="Arial" w:hAnsi="Arial"/>
                <w:b w:val="0"/>
                <w:sz w:val="16"/>
              </w:rPr>
              <w:t>Internal IDFC Identity Team</w:t>
            </w:r>
          </w:p>
        </w:tc>
      </w:tr>
      <w:tr>
        <w:tc>
          <w:tcPr>
            <w:tcW w:type="dxa" w:w="2448"/>
            <w:vAlign w:val="center"/>
            <w:shd w:fill="FAFAFA"/>
          </w:tcPr>
          <w:p>
            <w:r/>
            <w:r>
              <w:rPr>
                <w:rFonts w:ascii="Arial" w:hAnsi="Arial"/>
                <w:b w:val="0"/>
                <w:sz w:val="16"/>
              </w:rPr>
              <w:t>Transport encryption</w:t>
            </w:r>
          </w:p>
        </w:tc>
        <w:tc>
          <w:tcPr>
            <w:tcW w:type="dxa" w:w="5040"/>
            <w:vAlign w:val="center"/>
            <w:shd w:fill="FAFAFA"/>
          </w:tcPr>
          <w:p>
            <w:r/>
            <w:r>
              <w:rPr>
                <w:rFonts w:ascii="Arial" w:hAnsi="Arial"/>
                <w:b w:val="0"/>
                <w:sz w:val="16"/>
              </w:rPr>
              <w:t>HTTPS/TLS between consumers, Kong and backend services</w:t>
            </w:r>
          </w:p>
        </w:tc>
        <w:tc>
          <w:tcPr>
            <w:tcW w:type="dxa" w:w="2304"/>
            <w:vAlign w:val="center"/>
            <w:shd w:fill="FAFAFA"/>
          </w:tcPr>
          <w:p>
            <w:r/>
            <w:r>
              <w:rPr>
                <w:rFonts w:ascii="Arial" w:hAnsi="Arial"/>
                <w:b w:val="0"/>
                <w:sz w:val="16"/>
              </w:rPr>
              <w:t>Shared platform control</w:t>
            </w:r>
          </w:p>
        </w:tc>
      </w:tr>
      <w:tr>
        <w:tc>
          <w:tcPr>
            <w:tcW w:type="dxa" w:w="2448"/>
            <w:vAlign w:val="center"/>
          </w:tcPr>
          <w:p>
            <w:r/>
            <w:r>
              <w:rPr>
                <w:rFonts w:ascii="Arial" w:hAnsi="Arial"/>
                <w:b w:val="0"/>
                <w:sz w:val="16"/>
              </w:rPr>
              <w:t>Data handled</w:t>
            </w:r>
          </w:p>
        </w:tc>
        <w:tc>
          <w:tcPr>
            <w:tcW w:type="dxa" w:w="5040"/>
            <w:vAlign w:val="center"/>
          </w:tcPr>
          <w:p>
            <w:r/>
            <w:r>
              <w:rPr>
                <w:rFonts w:ascii="Arial" w:hAnsi="Arial"/>
                <w:b w:val="0"/>
                <w:sz w:val="16"/>
              </w:rPr>
              <w:t>Customer, transaction, PII, authentication and general business data</w:t>
            </w:r>
          </w:p>
        </w:tc>
        <w:tc>
          <w:tcPr>
            <w:tcW w:type="dxa" w:w="2304"/>
            <w:vAlign w:val="center"/>
          </w:tcPr>
          <w:p>
            <w:r/>
            <w:r>
              <w:rPr>
                <w:rFonts w:ascii="Arial" w:hAnsi="Arial"/>
                <w:b w:val="0"/>
                <w:sz w:val="16"/>
              </w:rPr>
              <w:t>Application owners</w:t>
            </w:r>
          </w:p>
        </w:tc>
      </w:tr>
      <w:tr>
        <w:tc>
          <w:tcPr>
            <w:tcW w:type="dxa" w:w="2448"/>
            <w:vAlign w:val="center"/>
            <w:shd w:fill="FAFAFA"/>
          </w:tcPr>
          <w:p>
            <w:r/>
            <w:r>
              <w:rPr>
                <w:rFonts w:ascii="Arial" w:hAnsi="Arial"/>
                <w:b w:val="0"/>
                <w:sz w:val="16"/>
              </w:rPr>
              <w:t>Encryption at rest</w:t>
            </w:r>
          </w:p>
        </w:tc>
        <w:tc>
          <w:tcPr>
            <w:tcW w:type="dxa" w:w="5040"/>
            <w:vAlign w:val="center"/>
            <w:shd w:fill="FAFAFA"/>
          </w:tcPr>
          <w:p>
            <w:r/>
            <w:r>
              <w:rPr>
                <w:rFonts w:ascii="Arial" w:hAnsi="Arial"/>
                <w:b w:val="0"/>
                <w:sz w:val="16"/>
              </w:rPr>
              <w:t>PII and sensitive data are encrypted based on data classification; non-sensitive data uses standard storage controls</w:t>
            </w:r>
          </w:p>
        </w:tc>
        <w:tc>
          <w:tcPr>
            <w:tcW w:type="dxa" w:w="2304"/>
            <w:vAlign w:val="center"/>
            <w:shd w:fill="FAFAFA"/>
          </w:tcPr>
          <w:p>
            <w:r/>
            <w:r>
              <w:rPr>
                <w:rFonts w:ascii="Arial" w:hAnsi="Arial"/>
                <w:b w:val="0"/>
                <w:sz w:val="16"/>
              </w:rPr>
              <w:t>Application/data owners</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4E5"/>
          </w:tcPr>
          <w:p>
            <w:r>
              <w:rPr>
                <w:b/>
                <w:color w:val="A6192E"/>
              </w:rPr>
              <w:t xml:space="preserve">Important: </w:t>
            </w:r>
            <w:r>
              <w:t>Exact token lifetimes, client configuration and Ory Hydra administration evidence are maintained by the separate internal Identity Team.</w:t>
            </w:r>
          </w:p>
        </w:tc>
      </w:tr>
    </w:tbl>
    <w:p>
      <w:pPr>
        <w:spacing w:after="0"/>
      </w:pPr>
    </w:p>
    <w:p>
      <w:r>
        <w:br w:type="page"/>
      </w:r>
    </w:p>
    <w:p>
      <w:pPr>
        <w:pStyle w:val="Heading1"/>
      </w:pPr>
      <w:r>
        <w:t>8. CI/CD, Source Control and Release Management</w:t>
      </w:r>
    </w:p>
    <w:p>
      <w:pPr>
        <w:pStyle w:val="Heading2"/>
      </w:pPr>
      <w:r>
        <w:t>8.1 Source Control</w:t>
      </w:r>
    </w:p>
    <w:p>
      <w:pPr>
        <w:pStyle w:val="ListBullet"/>
        <w:spacing w:after="40"/>
      </w:pPr>
      <w:r>
        <w:t>Bitbucket is the source-code repository.</w:t>
      </w:r>
    </w:p>
    <w:p>
      <w:pPr>
        <w:pStyle w:val="ListBullet"/>
        <w:spacing w:after="40"/>
      </w:pPr>
      <w:r>
        <w:t>A pull request is mandatory before code can be merged.</w:t>
      </w:r>
    </w:p>
    <w:p>
      <w:pPr>
        <w:pStyle w:val="ListBullet"/>
        <w:spacing w:after="40"/>
      </w:pPr>
      <w:r>
        <w:t>Code-review approval is required before merge.</w:t>
      </w:r>
    </w:p>
    <w:p>
      <w:pPr>
        <w:pStyle w:val="Heading2"/>
      </w:pPr>
      <w:r>
        <w:t>8.2 Controlled Promotion</w:t>
      </w:r>
    </w:p>
    <w:p>
      <w:pPr>
        <w:pStyle w:val="ListBullet"/>
        <w:spacing w:after="40"/>
      </w:pPr>
      <w:r>
        <w:t>The same container image is promoted through DEV → SIT → UAT → PRE-PROD → PROD → DR.</w:t>
      </w:r>
    </w:p>
    <w:p>
      <w:pPr>
        <w:pStyle w:val="ListBullet"/>
        <w:spacing w:after="40"/>
      </w:pPr>
      <w:r>
        <w:t>Promotion to PROD requires manual approval in GoCD.</w:t>
      </w:r>
    </w:p>
    <w:p>
      <w:pPr>
        <w:pStyle w:val="ListBullet"/>
        <w:spacing w:after="40"/>
      </w:pPr>
      <w:r>
        <w:t>Every PROD deployment is linked to an approved change ticket/RITM.</w:t>
      </w:r>
    </w:p>
    <w:p>
      <w:pPr>
        <w:pStyle w:val="ListBullet"/>
        <w:spacing w:after="40"/>
      </w:pPr>
      <w:r>
        <w:t>Promotion to DR requires separate manual approval.</w:t>
      </w:r>
    </w:p>
    <w:p>
      <w:pPr>
        <w:pStyle w:val="ListBullet"/>
        <w:spacing w:after="40"/>
      </w:pPr>
      <w:r>
        <w:t>Every approved PROD release is subsequently promoted to DR.</w:t>
      </w:r>
    </w:p>
    <w:p>
      <w:pPr>
        <w:jc w:val="center"/>
      </w:pPr>
      <w:r>
        <w:drawing>
          <wp:inline xmlns:a="http://schemas.openxmlformats.org/drawingml/2006/main" xmlns:pic="http://schemas.openxmlformats.org/drawingml/2006/picture">
            <wp:extent cx="6217920" cy="3108960"/>
            <wp:docPr id="5" name="Picture 5"/>
            <wp:cNvGraphicFramePr>
              <a:graphicFrameLocks noChangeAspect="1"/>
            </wp:cNvGraphicFramePr>
            <a:graphic>
              <a:graphicData uri="http://schemas.openxmlformats.org/drawingml/2006/picture">
                <pic:pic>
                  <pic:nvPicPr>
                    <pic:cNvPr id="0" name="api_platform_cicd_control_flow.png"/>
                    <pic:cNvPicPr/>
                  </pic:nvPicPr>
                  <pic:blipFill>
                    <a:blip r:embed="rId15"/>
                    <a:stretch>
                      <a:fillRect/>
                    </a:stretch>
                  </pic:blipFill>
                  <pic:spPr>
                    <a:xfrm>
                      <a:off x="0" y="0"/>
                      <a:ext cx="6217920" cy="3108960"/>
                    </a:xfrm>
                    <a:prstGeom prst="rect"/>
                  </pic:spPr>
                </pic:pic>
              </a:graphicData>
            </a:graphic>
          </wp:inline>
        </w:drawing>
      </w:r>
    </w:p>
    <w:p>
      <w:pPr>
        <w:pStyle w:val="Caption"/>
        <w:jc w:val="center"/>
      </w:pPr>
      <w:r>
        <w:t>Figure 4 - Controlled CI/CD and deployment control flow.</w:t>
      </w:r>
    </w:p>
    <w:p>
      <w:pPr>
        <w:pStyle w:val="Heading1"/>
      </w:pPr>
      <w:r>
        <w:t>9. Vulnerability and Container Security</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A6192E"/>
          </w:tcPr>
          <w:p>
            <w:r/>
            <w:r>
              <w:rPr>
                <w:rFonts w:ascii="Arial" w:hAnsi="Arial"/>
                <w:b/>
                <w:color w:val="FFFFFF"/>
                <w:sz w:val="16"/>
              </w:rPr>
              <w:t>Security Stage</w:t>
            </w:r>
          </w:p>
        </w:tc>
        <w:tc>
          <w:tcPr>
            <w:tcW w:type="dxa" w:w="3312"/>
            <w:vAlign w:val="center"/>
            <w:shd w:fill="A6192E"/>
          </w:tcPr>
          <w:p>
            <w:r/>
            <w:r>
              <w:rPr>
                <w:rFonts w:ascii="Arial" w:hAnsi="Arial"/>
                <w:b/>
                <w:color w:val="FFFFFF"/>
                <w:sz w:val="16"/>
              </w:rPr>
              <w:t>Tool / Control</w:t>
            </w:r>
          </w:p>
        </w:tc>
        <w:tc>
          <w:tcPr>
            <w:tcW w:type="dxa" w:w="4032"/>
            <w:vAlign w:val="center"/>
            <w:shd w:fill="A6192E"/>
          </w:tcPr>
          <w:p>
            <w:r/>
            <w:r>
              <w:rPr>
                <w:rFonts w:ascii="Arial" w:hAnsi="Arial"/>
                <w:b/>
                <w:color w:val="FFFFFF"/>
                <w:sz w:val="16"/>
              </w:rPr>
              <w:t>Enforcement</w:t>
            </w:r>
          </w:p>
        </w:tc>
      </w:tr>
      <w:tr>
        <w:tc>
          <w:tcPr>
            <w:tcW w:type="dxa" w:w="2448"/>
            <w:vAlign w:val="center"/>
          </w:tcPr>
          <w:p>
            <w:r/>
            <w:r>
              <w:rPr>
                <w:rFonts w:ascii="Arial" w:hAnsi="Arial"/>
                <w:b w:val="0"/>
                <w:sz w:val="16"/>
              </w:rPr>
              <w:t>Source-code analysis</w:t>
            </w:r>
          </w:p>
        </w:tc>
        <w:tc>
          <w:tcPr>
            <w:tcW w:type="dxa" w:w="3312"/>
            <w:vAlign w:val="center"/>
          </w:tcPr>
          <w:p>
            <w:r/>
            <w:r>
              <w:rPr>
                <w:rFonts w:ascii="Arial" w:hAnsi="Arial"/>
                <w:b w:val="0"/>
                <w:sz w:val="16"/>
              </w:rPr>
              <w:t>SonarQube SAST and quality gate</w:t>
            </w:r>
          </w:p>
        </w:tc>
        <w:tc>
          <w:tcPr>
            <w:tcW w:type="dxa" w:w="4032"/>
            <w:vAlign w:val="center"/>
          </w:tcPr>
          <w:p>
            <w:r/>
            <w:r>
              <w:rPr>
                <w:rFonts w:ascii="Arial" w:hAnsi="Arial"/>
                <w:b w:val="0"/>
                <w:sz w:val="16"/>
              </w:rPr>
              <w:t>A failed quality gate blocks promotion.</w:t>
            </w:r>
          </w:p>
        </w:tc>
      </w:tr>
      <w:tr>
        <w:tc>
          <w:tcPr>
            <w:tcW w:type="dxa" w:w="2448"/>
            <w:vAlign w:val="center"/>
            <w:shd w:fill="FAFAFA"/>
          </w:tcPr>
          <w:p>
            <w:r/>
            <w:r>
              <w:rPr>
                <w:rFonts w:ascii="Arial" w:hAnsi="Arial"/>
                <w:b w:val="0"/>
                <w:sz w:val="16"/>
              </w:rPr>
              <w:t>Container-image scanning</w:t>
            </w:r>
          </w:p>
        </w:tc>
        <w:tc>
          <w:tcPr>
            <w:tcW w:type="dxa" w:w="3312"/>
            <w:vAlign w:val="center"/>
            <w:shd w:fill="FAFAFA"/>
          </w:tcPr>
          <w:p>
            <w:r/>
            <w:r>
              <w:rPr>
                <w:rFonts w:ascii="Arial" w:hAnsi="Arial"/>
                <w:b w:val="0"/>
                <w:sz w:val="16"/>
              </w:rPr>
              <w:t>Twistlock / Prisma Cloud</w:t>
            </w:r>
          </w:p>
        </w:tc>
        <w:tc>
          <w:tcPr>
            <w:tcW w:type="dxa" w:w="4032"/>
            <w:vAlign w:val="center"/>
            <w:shd w:fill="FAFAFA"/>
          </w:tcPr>
          <w:p>
            <w:r/>
            <w:r>
              <w:rPr>
                <w:rFonts w:ascii="Arial" w:hAnsi="Arial"/>
                <w:b w:val="0"/>
                <w:sz w:val="16"/>
              </w:rPr>
              <w:t>Critical or High findings stop deployment.</w:t>
            </w:r>
          </w:p>
        </w:tc>
      </w:tr>
      <w:tr>
        <w:tc>
          <w:tcPr>
            <w:tcW w:type="dxa" w:w="2448"/>
            <w:vAlign w:val="center"/>
          </w:tcPr>
          <w:p>
            <w:r/>
            <w:r>
              <w:rPr>
                <w:rFonts w:ascii="Arial" w:hAnsi="Arial"/>
                <w:b w:val="0"/>
                <w:sz w:val="16"/>
              </w:rPr>
              <w:t>Container registry</w:t>
            </w:r>
          </w:p>
        </w:tc>
        <w:tc>
          <w:tcPr>
            <w:tcW w:type="dxa" w:w="3312"/>
            <w:vAlign w:val="center"/>
          </w:tcPr>
          <w:p>
            <w:r/>
            <w:r>
              <w:rPr>
                <w:rFonts w:ascii="Arial" w:hAnsi="Arial"/>
                <w:b w:val="0"/>
                <w:sz w:val="16"/>
              </w:rPr>
              <w:t>Amazon ECR</w:t>
            </w:r>
          </w:p>
        </w:tc>
        <w:tc>
          <w:tcPr>
            <w:tcW w:type="dxa" w:w="4032"/>
            <w:vAlign w:val="center"/>
          </w:tcPr>
          <w:p>
            <w:r/>
            <w:r>
              <w:rPr>
                <w:rFonts w:ascii="Arial" w:hAnsi="Arial"/>
                <w:b w:val="0"/>
                <w:sz w:val="16"/>
              </w:rPr>
              <w:t>Stores approved container images.</w:t>
            </w:r>
          </w:p>
        </w:tc>
      </w:tr>
      <w:tr>
        <w:tc>
          <w:tcPr>
            <w:tcW w:type="dxa" w:w="2448"/>
            <w:vAlign w:val="center"/>
            <w:shd w:fill="FAFAFA"/>
          </w:tcPr>
          <w:p>
            <w:r/>
            <w:r>
              <w:rPr>
                <w:rFonts w:ascii="Arial" w:hAnsi="Arial"/>
                <w:b w:val="0"/>
                <w:sz w:val="16"/>
              </w:rPr>
              <w:t>Independent security testing</w:t>
            </w:r>
          </w:p>
        </w:tc>
        <w:tc>
          <w:tcPr>
            <w:tcW w:type="dxa" w:w="3312"/>
            <w:vAlign w:val="center"/>
            <w:shd w:fill="FAFAFA"/>
          </w:tcPr>
          <w:p>
            <w:r/>
            <w:r>
              <w:rPr>
                <w:rFonts w:ascii="Arial" w:hAnsi="Arial"/>
                <w:b w:val="0"/>
                <w:sz w:val="16"/>
              </w:rPr>
              <w:t>VAPT / penetration testing</w:t>
            </w:r>
          </w:p>
        </w:tc>
        <w:tc>
          <w:tcPr>
            <w:tcW w:type="dxa" w:w="4032"/>
            <w:vAlign w:val="center"/>
            <w:shd w:fill="FAFAFA"/>
          </w:tcPr>
          <w:p>
            <w:r/>
            <w:r>
              <w:rPr>
                <w:rFonts w:ascii="Arial" w:hAnsi="Arial"/>
                <w:b w:val="0"/>
                <w:sz w:val="16"/>
              </w:rPr>
              <w:t>Performed every six months.</w:t>
            </w:r>
          </w:p>
        </w:tc>
      </w:tr>
    </w:tbl>
    <w:p>
      <w:pPr>
        <w:spacing w:after="0"/>
      </w:pPr>
    </w:p>
    <w:p>
      <w:r>
        <w:br w:type="page"/>
      </w:r>
    </w:p>
    <w:p>
      <w:pPr>
        <w:pStyle w:val="Heading1"/>
      </w:pPr>
      <w:r>
        <w:t>10. Secrets and Credential Management</w:t>
      </w:r>
    </w:p>
    <w:p>
      <w:r>
        <w:rPr>
          <w:b w:val="0"/>
        </w:rPr>
        <w:t>Application secrets and credentials are managed through Kubernetes Secrets. Access is controlled using Kubernetes RBAC and is restricted to authorised workloads and administrators. Secrets must not be embedded in source code, application configuration committed to Bitbucket, or container images.</w:t>
      </w:r>
    </w:p>
    <w:p>
      <w:pPr>
        <w:spacing w:after="0"/>
      </w:pPr>
    </w:p>
    <w:p>
      <w:pPr>
        <w:spacing w:after="0"/>
      </w:pPr>
    </w:p>
    <w:p>
      <w:pPr>
        <w:pStyle w:val="Heading1"/>
      </w:pPr>
      <w:r>
        <w:t>11. Logging, Monitoring and Incident Operations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A6192E"/>
          </w:tcPr>
          <w:p>
            <w:r/>
            <w:r>
              <w:rPr>
                <w:rFonts w:ascii="Arial" w:hAnsi="Arial"/>
                <w:b/>
                <w:color w:val="FFFFFF"/>
                <w:sz w:val="16"/>
              </w:rPr>
              <w:t>Capability</w:t>
            </w:r>
          </w:p>
        </w:tc>
        <w:tc>
          <w:tcPr>
            <w:tcW w:type="dxa" w:w="3600"/>
            <w:vAlign w:val="center"/>
            <w:shd w:fill="A6192E"/>
          </w:tcPr>
          <w:p>
            <w:r/>
            <w:r>
              <w:rPr>
                <w:rFonts w:ascii="Arial" w:hAnsi="Arial"/>
                <w:b/>
                <w:color w:val="FFFFFF"/>
                <w:sz w:val="16"/>
              </w:rPr>
              <w:t>Implementation</w:t>
            </w:r>
          </w:p>
        </w:tc>
        <w:tc>
          <w:tcPr>
            <w:tcW w:type="dxa" w:w="4320"/>
            <w:vAlign w:val="center"/>
            <w:shd w:fill="A6192E"/>
          </w:tcPr>
          <w:p>
            <w:r/>
            <w:r>
              <w:rPr>
                <w:rFonts w:ascii="Arial" w:hAnsi="Arial"/>
                <w:b/>
                <w:color w:val="FFFFFF"/>
                <w:sz w:val="16"/>
              </w:rPr>
              <w:t>Operational Use</w:t>
            </w:r>
          </w:p>
        </w:tc>
      </w:tr>
      <w:tr>
        <w:tc>
          <w:tcPr>
            <w:tcW w:type="dxa" w:w="2016"/>
            <w:vAlign w:val="center"/>
          </w:tcPr>
          <w:p>
            <w:r/>
            <w:r>
              <w:rPr>
                <w:rFonts w:ascii="Arial" w:hAnsi="Arial"/>
                <w:b w:val="0"/>
                <w:sz w:val="16"/>
              </w:rPr>
              <w:t>Centralised logging</w:t>
            </w:r>
          </w:p>
        </w:tc>
        <w:tc>
          <w:tcPr>
            <w:tcW w:type="dxa" w:w="3600"/>
            <w:vAlign w:val="center"/>
          </w:tcPr>
          <w:p>
            <w:r/>
            <w:r>
              <w:rPr>
                <w:rFonts w:ascii="Arial" w:hAnsi="Arial"/>
                <w:b w:val="0"/>
                <w:sz w:val="16"/>
              </w:rPr>
              <w:t>ELK stack with Kibana</w:t>
            </w:r>
          </w:p>
        </w:tc>
        <w:tc>
          <w:tcPr>
            <w:tcW w:type="dxa" w:w="4320"/>
            <w:vAlign w:val="center"/>
          </w:tcPr>
          <w:p>
            <w:r/>
            <w:r>
              <w:rPr>
                <w:rFonts w:ascii="Arial" w:hAnsi="Arial"/>
                <w:b w:val="0"/>
                <w:sz w:val="16"/>
              </w:rPr>
              <w:t>Application and platform log search and dashboards; retention two months</w:t>
            </w:r>
          </w:p>
        </w:tc>
      </w:tr>
      <w:tr>
        <w:tc>
          <w:tcPr>
            <w:tcW w:type="dxa" w:w="2016"/>
            <w:vAlign w:val="center"/>
            <w:shd w:fill="FAFAFA"/>
          </w:tcPr>
          <w:p>
            <w:r/>
            <w:r>
              <w:rPr>
                <w:rFonts w:ascii="Arial" w:hAnsi="Arial"/>
                <w:b w:val="0"/>
                <w:sz w:val="16"/>
              </w:rPr>
              <w:t>Metrics</w:t>
            </w:r>
          </w:p>
        </w:tc>
        <w:tc>
          <w:tcPr>
            <w:tcW w:type="dxa" w:w="3600"/>
            <w:vAlign w:val="center"/>
            <w:shd w:fill="FAFAFA"/>
          </w:tcPr>
          <w:p>
            <w:r/>
            <w:r>
              <w:rPr>
                <w:rFonts w:ascii="Arial" w:hAnsi="Arial"/>
                <w:b w:val="0"/>
                <w:sz w:val="16"/>
              </w:rPr>
              <w:t>Prometheus</w:t>
            </w:r>
          </w:p>
        </w:tc>
        <w:tc>
          <w:tcPr>
            <w:tcW w:type="dxa" w:w="4320"/>
            <w:vAlign w:val="center"/>
            <w:shd w:fill="FAFAFA"/>
          </w:tcPr>
          <w:p>
            <w:r/>
            <w:r>
              <w:rPr>
                <w:rFonts w:ascii="Arial" w:hAnsi="Arial"/>
                <w:b w:val="0"/>
                <w:sz w:val="16"/>
              </w:rPr>
              <w:t>Application, EKS and service health metrics</w:t>
            </w:r>
          </w:p>
        </w:tc>
      </w:tr>
      <w:tr>
        <w:tc>
          <w:tcPr>
            <w:tcW w:type="dxa" w:w="2016"/>
            <w:vAlign w:val="center"/>
          </w:tcPr>
          <w:p>
            <w:r/>
            <w:r>
              <w:rPr>
                <w:rFonts w:ascii="Arial" w:hAnsi="Arial"/>
                <w:b w:val="0"/>
                <w:sz w:val="16"/>
              </w:rPr>
              <w:t>Tracing</w:t>
            </w:r>
          </w:p>
        </w:tc>
        <w:tc>
          <w:tcPr>
            <w:tcW w:type="dxa" w:w="3600"/>
            <w:vAlign w:val="center"/>
          </w:tcPr>
          <w:p>
            <w:r/>
            <w:r>
              <w:rPr>
                <w:rFonts w:ascii="Arial" w:hAnsi="Arial"/>
                <w:b w:val="0"/>
                <w:sz w:val="16"/>
              </w:rPr>
              <w:t>Jaeger</w:t>
            </w:r>
          </w:p>
        </w:tc>
        <w:tc>
          <w:tcPr>
            <w:tcW w:type="dxa" w:w="4320"/>
            <w:vAlign w:val="center"/>
          </w:tcPr>
          <w:p>
            <w:r/>
            <w:r>
              <w:rPr>
                <w:rFonts w:ascii="Arial" w:hAnsi="Arial"/>
                <w:b w:val="0"/>
                <w:sz w:val="16"/>
              </w:rPr>
              <w:t>Distributed tracing across microservices</w:t>
            </w:r>
          </w:p>
        </w:tc>
      </w:tr>
      <w:tr>
        <w:tc>
          <w:tcPr>
            <w:tcW w:type="dxa" w:w="2016"/>
            <w:vAlign w:val="center"/>
            <w:shd w:fill="FAFAFA"/>
          </w:tcPr>
          <w:p>
            <w:r/>
            <w:r>
              <w:rPr>
                <w:rFonts w:ascii="Arial" w:hAnsi="Arial"/>
                <w:b w:val="0"/>
                <w:sz w:val="16"/>
              </w:rPr>
              <w:t>Coverage</w:t>
            </w:r>
          </w:p>
        </w:tc>
        <w:tc>
          <w:tcPr>
            <w:tcW w:type="dxa" w:w="3600"/>
            <w:vAlign w:val="center"/>
            <w:shd w:fill="FAFAFA"/>
          </w:tcPr>
          <w:p>
            <w:r/>
            <w:r>
              <w:rPr>
                <w:rFonts w:ascii="Arial" w:hAnsi="Arial"/>
                <w:b w:val="0"/>
                <w:sz w:val="16"/>
              </w:rPr>
              <w:t>All environments</w:t>
            </w:r>
          </w:p>
        </w:tc>
        <w:tc>
          <w:tcPr>
            <w:tcW w:type="dxa" w:w="4320"/>
            <w:vAlign w:val="center"/>
            <w:shd w:fill="FAFAFA"/>
          </w:tcPr>
          <w:p>
            <w:r/>
            <w:r>
              <w:rPr>
                <w:rFonts w:ascii="Arial" w:hAnsi="Arial"/>
                <w:b w:val="0"/>
                <w:sz w:val="16"/>
              </w:rPr>
              <w:t>DEV, SIT, UAT, PRE-PROD, PROD and DR</w:t>
            </w:r>
          </w:p>
        </w:tc>
      </w:tr>
      <w:tr>
        <w:tc>
          <w:tcPr>
            <w:tcW w:type="dxa" w:w="2016"/>
            <w:vAlign w:val="center"/>
          </w:tcPr>
          <w:p>
            <w:r/>
            <w:r>
              <w:rPr>
                <w:rFonts w:ascii="Arial" w:hAnsi="Arial"/>
                <w:b w:val="0"/>
                <w:sz w:val="16"/>
              </w:rPr>
              <w:t>24×7 operations</w:t>
            </w:r>
          </w:p>
        </w:tc>
        <w:tc>
          <w:tcPr>
            <w:tcW w:type="dxa" w:w="3600"/>
            <w:vAlign w:val="center"/>
          </w:tcPr>
          <w:p>
            <w:r/>
            <w:r>
              <w:rPr>
                <w:rFonts w:ascii="Arial" w:hAnsi="Arial"/>
                <w:b w:val="0"/>
                <w:sz w:val="16"/>
              </w:rPr>
              <w:t>BTO Team</w:t>
            </w:r>
          </w:p>
        </w:tc>
        <w:tc>
          <w:tcPr>
            <w:tcW w:type="dxa" w:w="4320"/>
            <w:vAlign w:val="center"/>
          </w:tcPr>
          <w:p>
            <w:r/>
            <w:r>
              <w:rPr>
                <w:rFonts w:ascii="Arial" w:hAnsi="Arial"/>
                <w:b w:val="0"/>
                <w:sz w:val="16"/>
              </w:rPr>
              <w:t>Monitoring and first-level incident response</w:t>
            </w:r>
          </w:p>
        </w:tc>
      </w:tr>
      <w:tr>
        <w:tc>
          <w:tcPr>
            <w:tcW w:type="dxa" w:w="2016"/>
            <w:vAlign w:val="center"/>
            <w:shd w:fill="FAFAFA"/>
          </w:tcPr>
          <w:p>
            <w:r/>
            <w:r>
              <w:rPr>
                <w:rFonts w:ascii="Arial" w:hAnsi="Arial"/>
                <w:b w:val="0"/>
                <w:sz w:val="16"/>
              </w:rPr>
              <w:t>Escalation</w:t>
            </w:r>
          </w:p>
        </w:tc>
        <w:tc>
          <w:tcPr>
            <w:tcW w:type="dxa" w:w="3600"/>
            <w:vAlign w:val="center"/>
            <w:shd w:fill="FAFAFA"/>
          </w:tcPr>
          <w:p>
            <w:r/>
            <w:r>
              <w:rPr>
                <w:rFonts w:ascii="Arial" w:hAnsi="Arial"/>
                <w:b w:val="0"/>
                <w:sz w:val="16"/>
              </w:rPr>
              <w:t>Java Platform Team</w:t>
            </w:r>
          </w:p>
        </w:tc>
        <w:tc>
          <w:tcPr>
            <w:tcW w:type="dxa" w:w="4320"/>
            <w:vAlign w:val="center"/>
            <w:shd w:fill="FAFAFA"/>
          </w:tcPr>
          <w:p>
            <w:r/>
            <w:r>
              <w:rPr>
                <w:rFonts w:ascii="Arial" w:hAnsi="Arial"/>
                <w:b w:val="0"/>
                <w:sz w:val="16"/>
              </w:rPr>
              <w:t>Platform/application engineering support</w:t>
            </w:r>
          </w:p>
        </w:tc>
      </w:tr>
    </w:tbl>
    <w:p>
      <w:pPr>
        <w:spacing w:after="0"/>
      </w:pPr>
    </w:p>
    <w:p>
      <w:pPr>
        <w:jc w:val="center"/>
      </w:pPr>
      <w:r>
        <w:drawing>
          <wp:inline xmlns:a="http://schemas.openxmlformats.org/drawingml/2006/main" xmlns:pic="http://schemas.openxmlformats.org/drawingml/2006/picture">
            <wp:extent cx="6309360" cy="3713122"/>
            <wp:docPr id="15" name="Logging, metrics and distributed tracing architecture" descr="Logging, metrics and distributed tracing architecture"/>
            <wp:cNvGraphicFramePr>
              <a:graphicFrameLocks noChangeAspect="1"/>
            </wp:cNvGraphicFramePr>
            <a:graphic>
              <a:graphicData uri="http://schemas.openxmlformats.org/drawingml/2006/picture">
                <pic:pic>
                  <pic:nvPicPr>
                    <pic:cNvPr id="0" name="api_platform_observability_clean.png"/>
                    <pic:cNvPicPr/>
                  </pic:nvPicPr>
                  <pic:blipFill>
                    <a:blip r:embed="rId16"/>
                    <a:stretch>
                      <a:fillRect/>
                    </a:stretch>
                  </pic:blipFill>
                  <pic:spPr>
                    <a:xfrm>
                      <a:off x="0" y="0"/>
                      <a:ext cx="6309360" cy="3713122"/>
                    </a:xfrm>
                    <a:prstGeom prst="rect"/>
                  </pic:spPr>
                </pic:pic>
              </a:graphicData>
            </a:graphic>
          </wp:inline>
        </w:drawing>
      </w:r>
    </w:p>
    <w:p>
      <w:pPr>
        <w:pStyle w:val="Caption"/>
        <w:jc w:val="center"/>
      </w:pPr>
      <w:r>
        <w:t>Figure 5 - API Platform observability architecture.</w:t>
      </w:r>
    </w:p>
    <w:p>
      <w:r>
        <w:br w:type="page"/>
      </w:r>
    </w:p>
    <w:p>
      <w:pPr>
        <w:pStyle w:val="Heading1"/>
      </w:pPr>
      <w:r>
        <w:t>12. Data Services and Integrations</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A6192E"/>
          </w:tcPr>
          <w:p>
            <w:r/>
            <w:r>
              <w:rPr>
                <w:rFonts w:ascii="Arial" w:hAnsi="Arial"/>
                <w:b/>
                <w:color w:val="FFFFFF"/>
                <w:sz w:val="16"/>
              </w:rPr>
              <w:t>Component</w:t>
            </w:r>
          </w:p>
        </w:tc>
        <w:tc>
          <w:tcPr>
            <w:tcW w:type="dxa" w:w="4464"/>
            <w:vAlign w:val="center"/>
            <w:shd w:fill="A6192E"/>
          </w:tcPr>
          <w:p>
            <w:r/>
            <w:r>
              <w:rPr>
                <w:rFonts w:ascii="Arial" w:hAnsi="Arial"/>
                <w:b/>
                <w:color w:val="FFFFFF"/>
                <w:sz w:val="16"/>
              </w:rPr>
              <w:t>Purpose</w:t>
            </w:r>
          </w:p>
        </w:tc>
        <w:tc>
          <w:tcPr>
            <w:tcW w:type="dxa" w:w="3744"/>
            <w:vAlign w:val="center"/>
            <w:shd w:fill="A6192E"/>
          </w:tcPr>
          <w:p>
            <w:r/>
            <w:r>
              <w:rPr>
                <w:rFonts w:ascii="Arial" w:hAnsi="Arial"/>
                <w:b/>
                <w:color w:val="FFFFFF"/>
                <w:sz w:val="16"/>
              </w:rPr>
              <w:t>Deployment / DR</w:t>
            </w:r>
          </w:p>
        </w:tc>
      </w:tr>
      <w:tr>
        <w:tc>
          <w:tcPr>
            <w:tcW w:type="dxa" w:w="2016"/>
            <w:vAlign w:val="center"/>
          </w:tcPr>
          <w:p>
            <w:r/>
            <w:r>
              <w:rPr>
                <w:rFonts w:ascii="Arial" w:hAnsi="Arial"/>
                <w:b w:val="0"/>
                <w:sz w:val="16"/>
              </w:rPr>
              <w:t>Aerospike</w:t>
            </w:r>
          </w:p>
        </w:tc>
        <w:tc>
          <w:tcPr>
            <w:tcW w:type="dxa" w:w="4464"/>
            <w:vAlign w:val="center"/>
          </w:tcPr>
          <w:p>
            <w:r/>
            <w:r>
              <w:rPr>
                <w:rFonts w:ascii="Arial" w:hAnsi="Arial"/>
                <w:b w:val="0"/>
                <w:sz w:val="16"/>
              </w:rPr>
              <w:t>IDFC-managed operational data store</w:t>
            </w:r>
          </w:p>
        </w:tc>
        <w:tc>
          <w:tcPr>
            <w:tcW w:type="dxa" w:w="3744"/>
            <w:vAlign w:val="center"/>
          </w:tcPr>
          <w:p>
            <w:r/>
            <w:r>
              <w:rPr>
                <w:rFonts w:ascii="Arial" w:hAnsi="Arial"/>
                <w:b w:val="0"/>
                <w:sz w:val="16"/>
              </w:rPr>
              <w:t>Deployed in PROD and DR; data is replicated from Mumbai to Hyderabad</w:t>
            </w:r>
          </w:p>
        </w:tc>
      </w:tr>
      <w:tr>
        <w:tc>
          <w:tcPr>
            <w:tcW w:type="dxa" w:w="3389"/>
          </w:tcPr>
          <w:p>
            <w:r>
              <w:t>Oracle Database (FinnOne)</w:t>
            </w:r>
          </w:p>
        </w:tc>
        <w:tc>
          <w:tcPr>
            <w:tcW w:type="dxa" w:w="3389"/>
          </w:tcPr>
          <w:p>
            <w:r>
              <w:t>FinnOne data accessed by applicable API microservices</w:t>
            </w:r>
          </w:p>
        </w:tc>
        <w:tc>
          <w:tcPr>
            <w:tcW w:type="dxa" w:w="3389"/>
          </w:tcPr>
          <w:p>
            <w:r>
              <w:t>Direct connectivity from authorised microservices; detailed database-platform controls are outside this document</w:t>
            </w:r>
          </w:p>
        </w:tc>
      </w:tr>
      <w:tr>
        <w:tc>
          <w:tcPr>
            <w:tcW w:type="dxa" w:w="2016"/>
            <w:vAlign w:val="center"/>
            <w:shd w:fill="FAFAFA"/>
          </w:tcPr>
          <w:p>
            <w:r/>
            <w:r>
              <w:rPr>
                <w:rFonts w:ascii="Arial" w:hAnsi="Arial"/>
                <w:b w:val="0"/>
                <w:sz w:val="16"/>
              </w:rPr>
              <w:t>Amazon MSK</w:t>
            </w:r>
          </w:p>
        </w:tc>
        <w:tc>
          <w:tcPr>
            <w:tcW w:type="dxa" w:w="4464"/>
            <w:vAlign w:val="center"/>
            <w:shd w:fill="FAFAFA"/>
          </w:tcPr>
          <w:p>
            <w:r/>
            <w:r>
              <w:rPr>
                <w:rFonts w:ascii="Arial" w:hAnsi="Arial"/>
                <w:b w:val="0"/>
                <w:sz w:val="16"/>
              </w:rPr>
              <w:t>Managed Kafka service for event streaming and asynchronous integration</w:t>
            </w:r>
          </w:p>
        </w:tc>
        <w:tc>
          <w:tcPr>
            <w:tcW w:type="dxa" w:w="3744"/>
            <w:vAlign w:val="center"/>
            <w:shd w:fill="FAFAFA"/>
          </w:tcPr>
          <w:p>
            <w:r/>
            <w:r>
              <w:rPr>
                <w:rFonts w:ascii="Arial" w:hAnsi="Arial"/>
                <w:b w:val="0"/>
                <w:sz w:val="16"/>
              </w:rPr>
              <w:t>Deployed in PROD and DR; Kafka data is replicated to DR</w:t>
            </w:r>
          </w:p>
        </w:tc>
      </w:tr>
      <w:tr>
        <w:tc>
          <w:tcPr>
            <w:tcW w:type="dxa" w:w="2016"/>
            <w:vAlign w:val="center"/>
          </w:tcPr>
          <w:p>
            <w:r/>
            <w:r>
              <w:rPr>
                <w:rFonts w:ascii="Arial" w:hAnsi="Arial"/>
                <w:b w:val="0"/>
                <w:sz w:val="16"/>
              </w:rPr>
              <w:t>Amazon S3</w:t>
            </w:r>
          </w:p>
        </w:tc>
        <w:tc>
          <w:tcPr>
            <w:tcW w:type="dxa" w:w="4464"/>
            <w:vAlign w:val="center"/>
          </w:tcPr>
          <w:p>
            <w:r/>
            <w:r>
              <w:rPr>
                <w:rFonts w:ascii="Arial" w:hAnsi="Arial"/>
                <w:b w:val="0"/>
                <w:sz w:val="16"/>
              </w:rPr>
              <w:t>Large payloads, files/documents and application data</w:t>
            </w:r>
          </w:p>
        </w:tc>
        <w:tc>
          <w:tcPr>
            <w:tcW w:type="dxa" w:w="3744"/>
            <w:vAlign w:val="center"/>
          </w:tcPr>
          <w:p>
            <w:r/>
            <w:r>
              <w:rPr>
                <w:rFonts w:ascii="Arial" w:hAnsi="Arial"/>
                <w:b w:val="0"/>
                <w:sz w:val="16"/>
              </w:rPr>
              <w:t>Data is replicated from Mumbai to Hyderabad</w:t>
            </w:r>
          </w:p>
        </w:tc>
      </w:tr>
      <w:tr>
        <w:tc>
          <w:tcPr>
            <w:tcW w:type="dxa" w:w="2016"/>
            <w:vAlign w:val="center"/>
            <w:shd w:fill="FAFAFA"/>
          </w:tcPr>
          <w:p>
            <w:r/>
            <w:r>
              <w:rPr>
                <w:rFonts w:ascii="Arial" w:hAnsi="Arial"/>
                <w:b w:val="0"/>
                <w:sz w:val="16"/>
              </w:rPr>
              <w:t>External and internal systems</w:t>
            </w:r>
          </w:p>
        </w:tc>
        <w:tc>
          <w:tcPr>
            <w:tcW w:type="dxa" w:w="4464"/>
            <w:vAlign w:val="center"/>
            <w:shd w:fill="FAFAFA"/>
          </w:tcPr>
          <w:p>
            <w:r/>
            <w:r>
              <w:rPr>
                <w:rFonts w:ascii="Arial" w:hAnsi="Arial"/>
                <w:b w:val="0"/>
                <w:sz w:val="16"/>
              </w:rPr>
              <w:t>Business integrations</w:t>
            </w:r>
          </w:p>
        </w:tc>
        <w:tc>
          <w:tcPr>
            <w:tcW w:type="dxa" w:w="3744"/>
            <w:vAlign w:val="center"/>
            <w:shd w:fill="FAFAFA"/>
          </w:tcPr>
          <w:p>
            <w:r/>
            <w:r>
              <w:rPr>
                <w:rFonts w:ascii="Arial" w:hAnsi="Arial"/>
                <w:b w:val="0"/>
                <w:sz w:val="16"/>
              </w:rPr>
              <w:t>Connectivity occurs through Kong</w:t>
            </w:r>
          </w:p>
        </w:tc>
      </w:tr>
    </w:tbl>
    <w:p>
      <w:pPr>
        <w:spacing w:after="0"/>
      </w:pPr>
    </w:p>
    <w:p>
      <w:pPr>
        <w:pStyle w:val="Heading1"/>
      </w:pPr>
      <w:r>
        <w:t>13. Availability, Backup and Disaster Recovery</w:t>
      </w:r>
    </w:p>
    <w:tbl>
      <w:tblPr>
        <w:tblStyle w:val="TableGrid"/>
        <w:tblW w:type="auto" w:w="0"/>
        <w:jc w:val="center"/>
        <w:tblLook w:firstColumn="1" w:firstRow="1" w:lastColumn="0" w:lastRow="0" w:noHBand="0" w:noVBand="1" w:val="04A0"/>
      </w:tblPr>
      <w:tblGrid>
        <w:gridCol w:w="5083"/>
        <w:gridCol w:w="5083"/>
      </w:tblGrid>
      <w:tr>
        <w:tc>
          <w:tcPr>
            <w:tcW w:type="dxa" w:w="3312"/>
            <w:vAlign w:val="center"/>
            <w:shd w:fill="A6192E"/>
          </w:tcPr>
          <w:p>
            <w:r/>
            <w:r>
              <w:rPr>
                <w:rFonts w:ascii="Arial" w:hAnsi="Arial"/>
                <w:b/>
                <w:color w:val="FFFFFF"/>
                <w:sz w:val="17"/>
              </w:rPr>
              <w:t>Control</w:t>
            </w:r>
          </w:p>
        </w:tc>
        <w:tc>
          <w:tcPr>
            <w:tcW w:type="dxa" w:w="6480"/>
            <w:vAlign w:val="center"/>
            <w:shd w:fill="A6192E"/>
          </w:tcPr>
          <w:p>
            <w:r/>
            <w:r>
              <w:rPr>
                <w:rFonts w:ascii="Arial" w:hAnsi="Arial"/>
                <w:b/>
                <w:color w:val="FFFFFF"/>
                <w:sz w:val="17"/>
              </w:rPr>
              <w:t>Confirmed Implementation</w:t>
            </w:r>
          </w:p>
        </w:tc>
      </w:tr>
      <w:tr>
        <w:tc>
          <w:tcPr>
            <w:tcW w:type="dxa" w:w="3312"/>
            <w:vAlign w:val="center"/>
          </w:tcPr>
          <w:p>
            <w:r/>
            <w:r>
              <w:rPr>
                <w:rFonts w:ascii="Arial" w:hAnsi="Arial"/>
                <w:b w:val="0"/>
                <w:sz w:val="17"/>
              </w:rPr>
              <w:t>Primary production region</w:t>
            </w:r>
          </w:p>
        </w:tc>
        <w:tc>
          <w:tcPr>
            <w:tcW w:type="dxa" w:w="6480"/>
            <w:vAlign w:val="center"/>
          </w:tcPr>
          <w:p>
            <w:r/>
            <w:r>
              <w:rPr>
                <w:rFonts w:ascii="Arial" w:hAnsi="Arial"/>
                <w:b w:val="0"/>
                <w:sz w:val="17"/>
              </w:rPr>
              <w:t>ap-south-1 (Mumbai)</w:t>
            </w:r>
          </w:p>
        </w:tc>
      </w:tr>
      <w:tr>
        <w:tc>
          <w:tcPr>
            <w:tcW w:type="dxa" w:w="3312"/>
            <w:vAlign w:val="center"/>
            <w:shd w:fill="FAFAFA"/>
          </w:tcPr>
          <w:p>
            <w:r/>
            <w:r>
              <w:rPr>
                <w:rFonts w:ascii="Arial" w:hAnsi="Arial"/>
                <w:b w:val="0"/>
                <w:sz w:val="17"/>
              </w:rPr>
              <w:t>DR region</w:t>
            </w:r>
          </w:p>
        </w:tc>
        <w:tc>
          <w:tcPr>
            <w:tcW w:type="dxa" w:w="6480"/>
            <w:vAlign w:val="center"/>
            <w:shd w:fill="FAFAFA"/>
          </w:tcPr>
          <w:p>
            <w:r/>
            <w:r>
              <w:rPr>
                <w:rFonts w:ascii="Arial" w:hAnsi="Arial"/>
                <w:b w:val="0"/>
                <w:sz w:val="17"/>
              </w:rPr>
              <w:t>ap-south-2 (Hyderabad)</w:t>
            </w:r>
          </w:p>
        </w:tc>
      </w:tr>
      <w:tr>
        <w:tc>
          <w:tcPr>
            <w:tcW w:type="dxa" w:w="3312"/>
            <w:vAlign w:val="center"/>
          </w:tcPr>
          <w:p>
            <w:r/>
            <w:r>
              <w:rPr>
                <w:rFonts w:ascii="Arial" w:hAnsi="Arial"/>
                <w:b w:val="0"/>
                <w:sz w:val="17"/>
              </w:rPr>
              <w:t>Region/VPC model</w:t>
            </w:r>
          </w:p>
        </w:tc>
        <w:tc>
          <w:tcPr>
            <w:tcW w:type="dxa" w:w="6480"/>
            <w:vAlign w:val="center"/>
          </w:tcPr>
          <w:p>
            <w:r/>
            <w:r>
              <w:rPr>
                <w:rFonts w:ascii="Arial" w:hAnsi="Arial"/>
                <w:b w:val="0"/>
                <w:sz w:val="17"/>
              </w:rPr>
              <w:t>Separate regions, VPCs and EKS clusters; same production AWS account</w:t>
            </w:r>
          </w:p>
        </w:tc>
      </w:tr>
      <w:tr>
        <w:tc>
          <w:tcPr>
            <w:tcW w:type="dxa" w:w="3312"/>
            <w:vAlign w:val="center"/>
            <w:shd w:fill="FAFAFA"/>
          </w:tcPr>
          <w:p>
            <w:r/>
            <w:r>
              <w:rPr>
                <w:rFonts w:ascii="Arial" w:hAnsi="Arial"/>
                <w:b w:val="0"/>
                <w:sz w:val="17"/>
              </w:rPr>
              <w:t>Availability Zones</w:t>
            </w:r>
          </w:p>
        </w:tc>
        <w:tc>
          <w:tcPr>
            <w:tcW w:type="dxa" w:w="6480"/>
            <w:vAlign w:val="center"/>
            <w:shd w:fill="FAFAFA"/>
          </w:tcPr>
          <w:p>
            <w:r/>
            <w:r>
              <w:rPr>
                <w:rFonts w:ascii="Arial" w:hAnsi="Arial"/>
                <w:b w:val="0"/>
                <w:sz w:val="17"/>
              </w:rPr>
              <w:t>Three for PROD and three for DR</w:t>
            </w:r>
          </w:p>
        </w:tc>
      </w:tr>
      <w:tr>
        <w:tc>
          <w:tcPr>
            <w:tcW w:type="dxa" w:w="3312"/>
            <w:vAlign w:val="center"/>
          </w:tcPr>
          <w:p>
            <w:r/>
            <w:r>
              <w:rPr>
                <w:rFonts w:ascii="Arial" w:hAnsi="Arial"/>
                <w:b w:val="0"/>
                <w:sz w:val="17"/>
              </w:rPr>
              <w:t>Failover</w:t>
            </w:r>
          </w:p>
        </w:tc>
        <w:tc>
          <w:tcPr>
            <w:tcW w:type="dxa" w:w="6480"/>
            <w:vAlign w:val="center"/>
          </w:tcPr>
          <w:p>
            <w:r>
              <w:t>Automatic health-based failover through AWS Global Accelerator using regional NLB/ALB endpoints</w:t>
            </w:r>
            <w:r>
              <w:rPr>
                <w:rFonts w:ascii="Arial" w:hAnsi="Arial"/>
                <w:b w:val="0"/>
                <w:sz w:val="17"/>
              </w:rPr>
            </w:r>
          </w:p>
        </w:tc>
      </w:tr>
      <w:tr>
        <w:tc>
          <w:tcPr>
            <w:tcW w:type="dxa" w:w="3312"/>
            <w:vAlign w:val="center"/>
            <w:shd w:fill="FAFAFA"/>
          </w:tcPr>
          <w:p>
            <w:r/>
            <w:r>
              <w:rPr>
                <w:rFonts w:ascii="Arial" w:hAnsi="Arial"/>
                <w:b w:val="0"/>
                <w:sz w:val="17"/>
              </w:rPr>
              <w:t>RPO</w:t>
            </w:r>
          </w:p>
        </w:tc>
        <w:tc>
          <w:tcPr>
            <w:tcW w:type="dxa" w:w="6480"/>
            <w:vAlign w:val="center"/>
            <w:shd w:fill="FAFAFA"/>
          </w:tcPr>
          <w:p>
            <w:r/>
            <w:r>
              <w:rPr>
                <w:rFonts w:ascii="Arial" w:hAnsi="Arial"/>
                <w:b w:val="0"/>
                <w:sz w:val="17"/>
              </w:rPr>
              <w:t>30 minutes</w:t>
            </w:r>
          </w:p>
        </w:tc>
      </w:tr>
      <w:tr>
        <w:tc>
          <w:tcPr>
            <w:tcW w:type="dxa" w:w="3312"/>
            <w:vAlign w:val="center"/>
          </w:tcPr>
          <w:p>
            <w:r/>
            <w:r>
              <w:rPr>
                <w:rFonts w:ascii="Arial" w:hAnsi="Arial"/>
                <w:b w:val="0"/>
                <w:sz w:val="17"/>
              </w:rPr>
              <w:t>RTO</w:t>
            </w:r>
          </w:p>
        </w:tc>
        <w:tc>
          <w:tcPr>
            <w:tcW w:type="dxa" w:w="6480"/>
            <w:vAlign w:val="center"/>
          </w:tcPr>
          <w:p>
            <w:r/>
            <w:r>
              <w:rPr>
                <w:rFonts w:ascii="Arial" w:hAnsi="Arial"/>
                <w:b w:val="0"/>
                <w:sz w:val="17"/>
              </w:rPr>
              <w:t>2 hours</w:t>
            </w:r>
          </w:p>
        </w:tc>
      </w:tr>
      <w:tr>
        <w:tc>
          <w:tcPr>
            <w:tcW w:type="dxa" w:w="3312"/>
            <w:vAlign w:val="center"/>
            <w:shd w:fill="FAFAFA"/>
          </w:tcPr>
          <w:p>
            <w:r/>
            <w:r>
              <w:rPr>
                <w:rFonts w:ascii="Arial" w:hAnsi="Arial"/>
                <w:b w:val="0"/>
                <w:sz w:val="17"/>
              </w:rPr>
              <w:t>DR drill frequency</w:t>
            </w:r>
          </w:p>
        </w:tc>
        <w:tc>
          <w:tcPr>
            <w:tcW w:type="dxa" w:w="6480"/>
            <w:vAlign w:val="center"/>
            <w:shd w:fill="FAFAFA"/>
          </w:tcPr>
          <w:p>
            <w:r/>
            <w:r>
              <w:rPr>
                <w:rFonts w:ascii="Arial" w:hAnsi="Arial"/>
                <w:b w:val="0"/>
                <w:sz w:val="17"/>
              </w:rPr>
              <w:t>Quarterly</w:t>
            </w:r>
          </w:p>
        </w:tc>
      </w:tr>
      <w:tr>
        <w:tc>
          <w:tcPr>
            <w:tcW w:type="dxa" w:w="3312"/>
            <w:vAlign w:val="center"/>
          </w:tcPr>
          <w:p>
            <w:r/>
            <w:r>
              <w:rPr>
                <w:rFonts w:ascii="Arial" w:hAnsi="Arial"/>
                <w:b w:val="0"/>
                <w:sz w:val="17"/>
              </w:rPr>
              <w:t>Backup frequency</w:t>
            </w:r>
          </w:p>
        </w:tc>
        <w:tc>
          <w:tcPr>
            <w:tcW w:type="dxa" w:w="6480"/>
            <w:vAlign w:val="center"/>
          </w:tcPr>
          <w:p>
            <w:r/>
            <w:r>
              <w:rPr>
                <w:rFonts w:ascii="Arial" w:hAnsi="Arial"/>
                <w:b w:val="0"/>
                <w:sz w:val="17"/>
              </w:rPr>
              <w:t>Daily</w:t>
            </w:r>
          </w:p>
        </w:tc>
      </w:tr>
      <w:tr>
        <w:tc>
          <w:tcPr>
            <w:tcW w:type="dxa" w:w="3312"/>
            <w:vAlign w:val="center"/>
            <w:shd w:fill="FAFAFA"/>
          </w:tcPr>
          <w:p>
            <w:r/>
            <w:r>
              <w:rPr>
                <w:rFonts w:ascii="Arial" w:hAnsi="Arial"/>
                <w:b w:val="0"/>
                <w:sz w:val="17"/>
              </w:rPr>
              <w:t>Backup retention</w:t>
            </w:r>
          </w:p>
        </w:tc>
        <w:tc>
          <w:tcPr>
            <w:tcW w:type="dxa" w:w="6480"/>
            <w:vAlign w:val="center"/>
            <w:shd w:fill="FAFAFA"/>
          </w:tcPr>
          <w:p>
            <w:r/>
            <w:r>
              <w:rPr>
                <w:rFonts w:ascii="Arial" w:hAnsi="Arial"/>
                <w:b w:val="0"/>
                <w:sz w:val="17"/>
              </w:rPr>
              <w:t>One year</w:t>
            </w:r>
          </w:p>
        </w:tc>
      </w:tr>
      <w:tr>
        <w:tc>
          <w:tcPr>
            <w:tcW w:type="dxa" w:w="3312"/>
            <w:vAlign w:val="center"/>
          </w:tcPr>
          <w:p>
            <w:r/>
            <w:r>
              <w:rPr>
                <w:rFonts w:ascii="Arial" w:hAnsi="Arial"/>
                <w:b w:val="0"/>
                <w:sz w:val="17"/>
              </w:rPr>
              <w:t>Backup restoration testing</w:t>
            </w:r>
          </w:p>
        </w:tc>
        <w:tc>
          <w:tcPr>
            <w:tcW w:type="dxa" w:w="6480"/>
            <w:vAlign w:val="center"/>
          </w:tcPr>
          <w:p>
            <w:r/>
            <w:r>
              <w:rPr>
                <w:rFonts w:ascii="Arial" w:hAnsi="Arial"/>
                <w:b w:val="0"/>
                <w:sz w:val="17"/>
              </w:rPr>
              <w:t>Every six months</w:t>
            </w:r>
          </w:p>
        </w:tc>
      </w:tr>
    </w:tbl>
    <w:p>
      <w:pPr>
        <w:spacing w:after="0"/>
      </w:pPr>
    </w:p>
    <w:p>
      <w:r>
        <w:t>The DR environment is updated after every PROD release using the same approved container image. DR promotion is subject to a separate manual approval. Aerospike, Amazon MSK and Amazon S3 data are replicated from the Mumbai production environment to Hyderabad. AWS Global Accelerator directs traffic to the healthy regional NLB/ALB endpoint and provides automatic regional failover from Mumbai to Hyderabad when the primary endpoint is unhealthy.</w:t>
      </w:r>
    </w:p>
    <w:p>
      <w:pPr>
        <w:pStyle w:val="Heading2"/>
        <w:keepNext/>
        <w:pageBreakBefore/>
      </w:pPr>
      <w:r>
        <w:t>13.1 AWS Infrastructure and EKS Architecture</w:t>
      </w:r>
    </w:p>
    <w:p>
      <w:pPr>
        <w:jc w:val="center"/>
      </w:pPr>
      <w:r>
        <w:drawing>
          <wp:inline xmlns:a="http://schemas.openxmlformats.org/drawingml/2006/main" xmlns:pic="http://schemas.openxmlformats.org/drawingml/2006/picture">
            <wp:extent cx="6537960" cy="4070805"/>
            <wp:docPr id="16" name="AWS infrastructure and EKS architecture including direct FinnOne Oracle Database integration" descr="AWS infrastructure and EKS architecture including direct FinnOne Oracle Database integration"/>
            <wp:cNvGraphicFramePr>
              <a:graphicFrameLocks noChangeAspect="1"/>
            </wp:cNvGraphicFramePr>
            <a:graphic>
              <a:graphicData uri="http://schemas.openxmlformats.org/drawingml/2006/picture">
                <pic:pic>
                  <pic:nvPicPr>
                    <pic:cNvPr id="0" name="api_platform_aws_infra_oracle.png"/>
                    <pic:cNvPicPr/>
                  </pic:nvPicPr>
                  <pic:blipFill>
                    <a:blip r:embed="rId20"/>
                    <a:stretch>
                      <a:fillRect/>
                    </a:stretch>
                  </pic:blipFill>
                  <pic:spPr>
                    <a:xfrm>
                      <a:off x="0" y="0"/>
                      <a:ext cx="6537960" cy="4070805"/>
                    </a:xfrm>
                    <a:prstGeom prst="rect"/>
                  </pic:spPr>
                </pic:pic>
              </a:graphicData>
            </a:graphic>
          </wp:inline>
        </w:drawing>
      </w:r>
    </w:p>
    <w:p>
      <w:pPr>
        <w:pStyle w:val="Heading2"/>
        <w:keepNext/>
        <w:pageBreakBefore/>
        <w:jc w:val="center"/>
      </w:pPr>
      <w:r>
        <w:rPr>
          <w:rFonts w:ascii="Arial" w:hAnsi="Arial"/>
          <w:b w:val="0"/>
        </w:rPr>
        <w:t>13.2 Production and Disaster Recovery Regional Architecture (AWS Global Accelerator)</w:t>
      </w:r>
    </w:p>
    <w:p>
      <w:pPr>
        <w:jc w:val="center"/>
      </w:pPr>
      <w:r>
        <w:drawing>
          <wp:inline xmlns:a="http://schemas.openxmlformats.org/drawingml/2006/main" xmlns:pic="http://schemas.openxmlformats.org/drawingml/2006/picture">
            <wp:extent cx="6537960" cy="3704844"/>
            <wp:docPr id="17" name="Production and disaster recovery regional architecture using AWS Global Accelerator" descr="Production and disaster recovery regional architecture using AWS Global Accelerator"/>
            <wp:cNvGraphicFramePr>
              <a:graphicFrameLocks noChangeAspect="1"/>
            </wp:cNvGraphicFramePr>
            <a:graphic>
              <a:graphicData uri="http://schemas.openxmlformats.org/drawingml/2006/picture">
                <pic:pic>
                  <pic:nvPicPr>
                    <pic:cNvPr id="0" name="aws_global_accelerator_dr_clean.png"/>
                    <pic:cNvPicPr/>
                  </pic:nvPicPr>
                  <pic:blipFill>
                    <a:blip r:embed="rId21"/>
                    <a:stretch>
                      <a:fillRect/>
                    </a:stretch>
                  </pic:blipFill>
                  <pic:spPr>
                    <a:xfrm>
                      <a:off x="0" y="0"/>
                      <a:ext cx="6537960" cy="3704844"/>
                    </a:xfrm>
                    <a:prstGeom prst="rect"/>
                  </pic:spPr>
                </pic:pic>
              </a:graphicData>
            </a:graphic>
          </wp:inline>
        </w:drawing>
      </w:r>
    </w:p>
    <w:p>
      <w:r>
        <w:br w:type="page"/>
      </w:r>
    </w:p>
    <w:p>
      <w:pPr>
        <w:pStyle w:val="Heading1"/>
      </w:pPr>
      <w:r>
        <w:rPr>
          <w:rFonts w:ascii="Arial" w:hAnsi="Arial"/>
          <w:b w:val="0"/>
        </w:rPr>
        <w:t>14. Risk and Control Summary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152"/>
            <w:vAlign w:val="center"/>
            <w:shd w:fill="A6192E"/>
          </w:tcPr>
          <w:p>
            <w:r/>
            <w:r>
              <w:rPr>
                <w:rFonts w:ascii="Arial" w:hAnsi="Arial"/>
                <w:b/>
                <w:color w:val="FFFFFF"/>
                <w:sz w:val="14"/>
              </w:rPr>
              <w:t>ID</w:t>
            </w:r>
          </w:p>
        </w:tc>
        <w:tc>
          <w:tcPr>
            <w:tcW w:type="dxa" w:w="2448"/>
            <w:vAlign w:val="center"/>
            <w:shd w:fill="A6192E"/>
          </w:tcPr>
          <w:p>
            <w:r/>
            <w:r>
              <w:rPr>
                <w:rFonts w:ascii="Arial" w:hAnsi="Arial"/>
                <w:b/>
                <w:color w:val="FFFFFF"/>
                <w:sz w:val="14"/>
              </w:rPr>
              <w:t>Risk / Objective</w:t>
            </w:r>
          </w:p>
        </w:tc>
        <w:tc>
          <w:tcPr>
            <w:tcW w:type="dxa" w:w="3888"/>
            <w:vAlign w:val="center"/>
            <w:shd w:fill="A6192E"/>
          </w:tcPr>
          <w:p>
            <w:r/>
            <w:r>
              <w:rPr>
                <w:rFonts w:ascii="Arial" w:hAnsi="Arial"/>
                <w:b/>
                <w:color w:val="FFFFFF"/>
                <w:sz w:val="14"/>
              </w:rPr>
              <w:t>Key Control</w:t>
            </w:r>
          </w:p>
        </w:tc>
        <w:tc>
          <w:tcPr>
            <w:tcW w:type="dxa" w:w="1872"/>
            <w:vAlign w:val="center"/>
            <w:shd w:fill="A6192E"/>
          </w:tcPr>
          <w:p>
            <w:r/>
            <w:r>
              <w:rPr>
                <w:rFonts w:ascii="Arial" w:hAnsi="Arial"/>
                <w:b/>
                <w:color w:val="FFFFFF"/>
                <w:sz w:val="14"/>
              </w:rPr>
              <w:t>Owner</w:t>
            </w:r>
          </w:p>
        </w:tc>
        <w:tc>
          <w:tcPr>
            <w:tcW w:type="dxa" w:w="1440"/>
            <w:vAlign w:val="center"/>
            <w:shd w:fill="A6192E"/>
          </w:tcPr>
          <w:p>
            <w:r/>
            <w:r>
              <w:rPr>
                <w:rFonts w:ascii="Arial" w:hAnsi="Arial"/>
                <w:b/>
                <w:color w:val="FFFFFF"/>
                <w:sz w:val="14"/>
              </w:rPr>
              <w:t>Status</w:t>
            </w:r>
          </w:p>
        </w:tc>
      </w:tr>
      <w:tr>
        <w:tc>
          <w:tcPr>
            <w:tcW w:type="dxa" w:w="1152"/>
            <w:vAlign w:val="center"/>
          </w:tcPr>
          <w:p>
            <w:r/>
            <w:r>
              <w:rPr>
                <w:rFonts w:ascii="Arial" w:hAnsi="Arial"/>
                <w:b w:val="0"/>
                <w:sz w:val="14"/>
              </w:rPr>
              <w:t>CTRL-001</w:t>
            </w:r>
          </w:p>
        </w:tc>
        <w:tc>
          <w:tcPr>
            <w:tcW w:type="dxa" w:w="2448"/>
            <w:vAlign w:val="center"/>
          </w:tcPr>
          <w:p>
            <w:r/>
            <w:r>
              <w:rPr>
                <w:rFonts w:ascii="Arial" w:hAnsi="Arial"/>
                <w:b w:val="0"/>
                <w:sz w:val="14"/>
              </w:rPr>
              <w:t>Unauthorised source change</w:t>
            </w:r>
          </w:p>
        </w:tc>
        <w:tc>
          <w:tcPr>
            <w:tcW w:type="dxa" w:w="3888"/>
            <w:vAlign w:val="center"/>
          </w:tcPr>
          <w:p>
            <w:r/>
            <w:r>
              <w:rPr>
                <w:rFonts w:ascii="Arial" w:hAnsi="Arial"/>
                <w:b w:val="0"/>
                <w:sz w:val="14"/>
              </w:rPr>
              <w:t>Mandatory Bitbucket pull request and code-review approval</w:t>
            </w:r>
          </w:p>
        </w:tc>
        <w:tc>
          <w:tcPr>
            <w:tcW w:type="dxa" w:w="1872"/>
            <w:vAlign w:val="center"/>
          </w:tcPr>
          <w:p>
            <w:r/>
            <w:r>
              <w:rPr>
                <w:rFonts w:ascii="Arial" w:hAnsi="Arial"/>
                <w:b w:val="0"/>
                <w:sz w:val="14"/>
              </w:rPr>
              <w:t>Java Platform Team</w:t>
            </w:r>
          </w:p>
        </w:tc>
        <w:tc>
          <w:tcPr>
            <w:tcW w:type="dxa" w:w="1440"/>
            <w:vAlign w:val="center"/>
          </w:tcPr>
          <w:p>
            <w:r/>
            <w:r>
              <w:rPr>
                <w:rFonts w:ascii="Arial" w:hAnsi="Arial"/>
                <w:b w:val="0"/>
                <w:sz w:val="14"/>
              </w:rPr>
              <w:t>Implemented</w:t>
            </w:r>
          </w:p>
        </w:tc>
      </w:tr>
      <w:tr>
        <w:tc>
          <w:tcPr>
            <w:tcW w:type="dxa" w:w="1152"/>
            <w:vAlign w:val="center"/>
            <w:shd w:fill="FAFAFA"/>
          </w:tcPr>
          <w:p>
            <w:r/>
            <w:r>
              <w:rPr>
                <w:rFonts w:ascii="Arial" w:hAnsi="Arial"/>
                <w:b w:val="0"/>
                <w:sz w:val="14"/>
              </w:rPr>
              <w:t>CTRL-002</w:t>
            </w:r>
          </w:p>
        </w:tc>
        <w:tc>
          <w:tcPr>
            <w:tcW w:type="dxa" w:w="2448"/>
            <w:vAlign w:val="center"/>
            <w:shd w:fill="FAFAFA"/>
          </w:tcPr>
          <w:p>
            <w:r/>
            <w:r>
              <w:rPr>
                <w:rFonts w:ascii="Arial" w:hAnsi="Arial"/>
                <w:b w:val="0"/>
                <w:sz w:val="14"/>
              </w:rPr>
              <w:t>Unapproved production release</w:t>
            </w:r>
          </w:p>
        </w:tc>
        <w:tc>
          <w:tcPr>
            <w:tcW w:type="dxa" w:w="3888"/>
            <w:vAlign w:val="center"/>
            <w:shd w:fill="FAFAFA"/>
          </w:tcPr>
          <w:p>
            <w:r/>
            <w:r>
              <w:rPr>
                <w:rFonts w:ascii="Arial" w:hAnsi="Arial"/>
                <w:b w:val="0"/>
                <w:sz w:val="14"/>
              </w:rPr>
              <w:t>GoCD manual approval and approved change ticket/RITM</w:t>
            </w:r>
          </w:p>
        </w:tc>
        <w:tc>
          <w:tcPr>
            <w:tcW w:type="dxa" w:w="1872"/>
            <w:vAlign w:val="center"/>
            <w:shd w:fill="FAFAFA"/>
          </w:tcPr>
          <w:p>
            <w:r/>
            <w:r>
              <w:rPr>
                <w:rFonts w:ascii="Arial" w:hAnsi="Arial"/>
                <w:b w:val="0"/>
                <w:sz w:val="14"/>
              </w:rPr>
              <w:t>Java Platform Team / Change Management</w:t>
            </w:r>
          </w:p>
        </w:tc>
        <w:tc>
          <w:tcPr>
            <w:tcW w:type="dxa" w:w="1440"/>
            <w:vAlign w:val="center"/>
            <w:shd w:fill="FAFAFA"/>
          </w:tcPr>
          <w:p>
            <w:r/>
            <w:r>
              <w:rPr>
                <w:rFonts w:ascii="Arial" w:hAnsi="Arial"/>
                <w:b w:val="0"/>
                <w:sz w:val="14"/>
              </w:rPr>
              <w:t>Implemented</w:t>
            </w:r>
          </w:p>
        </w:tc>
      </w:tr>
      <w:tr>
        <w:tc>
          <w:tcPr>
            <w:tcW w:type="dxa" w:w="1152"/>
            <w:vAlign w:val="center"/>
          </w:tcPr>
          <w:p>
            <w:r/>
            <w:r>
              <w:rPr>
                <w:rFonts w:ascii="Arial" w:hAnsi="Arial"/>
                <w:b w:val="0"/>
                <w:sz w:val="14"/>
              </w:rPr>
              <w:t>CTRL-003</w:t>
            </w:r>
          </w:p>
        </w:tc>
        <w:tc>
          <w:tcPr>
            <w:tcW w:type="dxa" w:w="2448"/>
            <w:vAlign w:val="center"/>
          </w:tcPr>
          <w:p>
            <w:r/>
            <w:r>
              <w:rPr>
                <w:rFonts w:ascii="Arial" w:hAnsi="Arial"/>
                <w:b w:val="0"/>
                <w:sz w:val="14"/>
              </w:rPr>
              <w:t>Vulnerable source code</w:t>
            </w:r>
          </w:p>
        </w:tc>
        <w:tc>
          <w:tcPr>
            <w:tcW w:type="dxa" w:w="3888"/>
            <w:vAlign w:val="center"/>
          </w:tcPr>
          <w:p>
            <w:r/>
            <w:r>
              <w:rPr>
                <w:rFonts w:ascii="Arial" w:hAnsi="Arial"/>
                <w:b w:val="0"/>
                <w:sz w:val="14"/>
              </w:rPr>
              <w:t>SonarQube quality gate blocks promotion</w:t>
            </w:r>
          </w:p>
        </w:tc>
        <w:tc>
          <w:tcPr>
            <w:tcW w:type="dxa" w:w="1872"/>
            <w:vAlign w:val="center"/>
          </w:tcPr>
          <w:p>
            <w:r/>
            <w:r>
              <w:rPr>
                <w:rFonts w:ascii="Arial" w:hAnsi="Arial"/>
                <w:b w:val="0"/>
                <w:sz w:val="14"/>
              </w:rPr>
              <w:t>Java Platform Team</w:t>
            </w:r>
          </w:p>
        </w:tc>
        <w:tc>
          <w:tcPr>
            <w:tcW w:type="dxa" w:w="1440"/>
            <w:vAlign w:val="center"/>
          </w:tcPr>
          <w:p>
            <w:r/>
            <w:r>
              <w:rPr>
                <w:rFonts w:ascii="Arial" w:hAnsi="Arial"/>
                <w:b w:val="0"/>
                <w:sz w:val="14"/>
              </w:rPr>
              <w:t>Implemented</w:t>
            </w:r>
          </w:p>
        </w:tc>
      </w:tr>
      <w:tr>
        <w:tc>
          <w:tcPr>
            <w:tcW w:type="dxa" w:w="1152"/>
            <w:vAlign w:val="center"/>
            <w:shd w:fill="FAFAFA"/>
          </w:tcPr>
          <w:p>
            <w:r/>
            <w:r>
              <w:rPr>
                <w:rFonts w:ascii="Arial" w:hAnsi="Arial"/>
                <w:b w:val="0"/>
                <w:sz w:val="14"/>
              </w:rPr>
              <w:t>CTRL-004</w:t>
            </w:r>
          </w:p>
        </w:tc>
        <w:tc>
          <w:tcPr>
            <w:tcW w:type="dxa" w:w="2448"/>
            <w:vAlign w:val="center"/>
            <w:shd w:fill="FAFAFA"/>
          </w:tcPr>
          <w:p>
            <w:r/>
            <w:r>
              <w:rPr>
                <w:rFonts w:ascii="Arial" w:hAnsi="Arial"/>
                <w:b w:val="0"/>
                <w:sz w:val="14"/>
              </w:rPr>
              <w:t>Vulnerable container image</w:t>
            </w:r>
          </w:p>
        </w:tc>
        <w:tc>
          <w:tcPr>
            <w:tcW w:type="dxa" w:w="3888"/>
            <w:vAlign w:val="center"/>
            <w:shd w:fill="FAFAFA"/>
          </w:tcPr>
          <w:p>
            <w:r/>
            <w:r>
              <w:rPr>
                <w:rFonts w:ascii="Arial" w:hAnsi="Arial"/>
                <w:b w:val="0"/>
                <w:sz w:val="14"/>
              </w:rPr>
              <w:t>Twistlock Critical/High findings block deployment</w:t>
            </w:r>
          </w:p>
        </w:tc>
        <w:tc>
          <w:tcPr>
            <w:tcW w:type="dxa" w:w="1872"/>
            <w:vAlign w:val="center"/>
            <w:shd w:fill="FAFAFA"/>
          </w:tcPr>
          <w:p>
            <w:r/>
            <w:r>
              <w:rPr>
                <w:rFonts w:ascii="Arial" w:hAnsi="Arial"/>
                <w:b w:val="0"/>
                <w:sz w:val="14"/>
              </w:rPr>
              <w:t>Platform / Security</w:t>
            </w:r>
          </w:p>
        </w:tc>
        <w:tc>
          <w:tcPr>
            <w:tcW w:type="dxa" w:w="1440"/>
            <w:vAlign w:val="center"/>
            <w:shd w:fill="FAFAFA"/>
          </w:tcPr>
          <w:p>
            <w:r/>
            <w:r>
              <w:rPr>
                <w:rFonts w:ascii="Arial" w:hAnsi="Arial"/>
                <w:b w:val="0"/>
                <w:sz w:val="14"/>
              </w:rPr>
              <w:t>Implemented</w:t>
            </w:r>
          </w:p>
        </w:tc>
      </w:tr>
      <w:tr>
        <w:tc>
          <w:tcPr>
            <w:tcW w:type="dxa" w:w="1152"/>
            <w:vAlign w:val="center"/>
          </w:tcPr>
          <w:p>
            <w:r/>
            <w:r>
              <w:rPr>
                <w:rFonts w:ascii="Arial" w:hAnsi="Arial"/>
                <w:b w:val="0"/>
                <w:sz w:val="14"/>
              </w:rPr>
              <w:t>CTRL-005</w:t>
            </w:r>
          </w:p>
        </w:tc>
        <w:tc>
          <w:tcPr>
            <w:tcW w:type="dxa" w:w="2448"/>
            <w:vAlign w:val="center"/>
          </w:tcPr>
          <w:p>
            <w:r/>
            <w:r>
              <w:rPr>
                <w:rFonts w:ascii="Arial" w:hAnsi="Arial"/>
                <w:b w:val="0"/>
                <w:sz w:val="14"/>
              </w:rPr>
              <w:t>Service interruption during deployment</w:t>
            </w:r>
          </w:p>
        </w:tc>
        <w:tc>
          <w:tcPr>
            <w:tcW w:type="dxa" w:w="3888"/>
            <w:vAlign w:val="center"/>
          </w:tcPr>
          <w:p>
            <w:r/>
            <w:r>
              <w:rPr>
                <w:rFonts w:ascii="Arial" w:hAnsi="Arial"/>
                <w:b w:val="0"/>
                <w:sz w:val="14"/>
              </w:rPr>
              <w:t>EKS rolling update with readiness and liveness probes</w:t>
            </w:r>
          </w:p>
        </w:tc>
        <w:tc>
          <w:tcPr>
            <w:tcW w:type="dxa" w:w="1872"/>
            <w:vAlign w:val="center"/>
          </w:tcPr>
          <w:p>
            <w:r/>
            <w:r>
              <w:rPr>
                <w:rFonts w:ascii="Arial" w:hAnsi="Arial"/>
                <w:b w:val="0"/>
                <w:sz w:val="14"/>
              </w:rPr>
              <w:t>Java Platform Team</w:t>
            </w:r>
          </w:p>
        </w:tc>
        <w:tc>
          <w:tcPr>
            <w:tcW w:type="dxa" w:w="1440"/>
            <w:vAlign w:val="center"/>
          </w:tcPr>
          <w:p>
            <w:r/>
            <w:r>
              <w:rPr>
                <w:rFonts w:ascii="Arial" w:hAnsi="Arial"/>
                <w:b w:val="0"/>
                <w:sz w:val="14"/>
              </w:rPr>
              <w:t>Implemented</w:t>
            </w:r>
          </w:p>
        </w:tc>
      </w:tr>
      <w:tr>
        <w:tc>
          <w:tcPr>
            <w:tcW w:type="dxa" w:w="1152"/>
            <w:vAlign w:val="center"/>
            <w:shd w:fill="FAFAFA"/>
          </w:tcPr>
          <w:p>
            <w:r/>
            <w:r>
              <w:rPr>
                <w:rFonts w:ascii="Arial" w:hAnsi="Arial"/>
                <w:b w:val="0"/>
                <w:sz w:val="14"/>
              </w:rPr>
              <w:t>CTRL-006</w:t>
            </w:r>
          </w:p>
        </w:tc>
        <w:tc>
          <w:tcPr>
            <w:tcW w:type="dxa" w:w="2448"/>
            <w:vAlign w:val="center"/>
            <w:shd w:fill="FAFAFA"/>
          </w:tcPr>
          <w:p>
            <w:r/>
            <w:r>
              <w:rPr>
                <w:rFonts w:ascii="Arial" w:hAnsi="Arial"/>
                <w:b w:val="0"/>
                <w:sz w:val="14"/>
              </w:rPr>
              <w:t>Regional service outage</w:t>
            </w:r>
          </w:p>
        </w:tc>
        <w:tc>
          <w:tcPr>
            <w:tcW w:type="dxa" w:w="3888"/>
            <w:vAlign w:val="center"/>
            <w:shd w:fill="FAFAFA"/>
          </w:tcPr>
          <w:p>
            <w:r>
              <w:t>Separate DR region, AWS Global Accelerator health-based failover, and quarterly DR drills</w:t>
            </w:r>
            <w:r>
              <w:rPr>
                <w:rFonts w:ascii="Arial" w:hAnsi="Arial"/>
                <w:b w:val="0"/>
                <w:sz w:val="14"/>
              </w:rPr>
            </w:r>
          </w:p>
        </w:tc>
        <w:tc>
          <w:tcPr>
            <w:tcW w:type="dxa" w:w="1872"/>
            <w:vAlign w:val="center"/>
            <w:shd w:fill="FAFAFA"/>
          </w:tcPr>
          <w:p>
            <w:r/>
            <w:r>
              <w:rPr>
                <w:rFonts w:ascii="Arial" w:hAnsi="Arial"/>
                <w:b w:val="0"/>
                <w:sz w:val="14"/>
              </w:rPr>
              <w:t>Platform / BTO</w:t>
            </w:r>
          </w:p>
        </w:tc>
        <w:tc>
          <w:tcPr>
            <w:tcW w:type="dxa" w:w="1440"/>
            <w:vAlign w:val="center"/>
            <w:shd w:fill="FAFAFA"/>
          </w:tcPr>
          <w:p>
            <w:r/>
            <w:r>
              <w:rPr>
                <w:rFonts w:ascii="Arial" w:hAnsi="Arial"/>
                <w:b w:val="0"/>
                <w:sz w:val="14"/>
              </w:rPr>
              <w:t>Implemented</w:t>
            </w:r>
          </w:p>
        </w:tc>
      </w:tr>
    </w:tbl>
    <w:p>
      <w:pPr>
        <w:spacing w:after="0"/>
      </w:pPr>
    </w:p>
    <w:p>
      <w:r>
        <w:br w:type="page"/>
      </w:r>
    </w:p>
    <w:p>
      <w:pPr>
        <w:pStyle w:val="Heading1"/>
      </w:pPr>
      <w:r>
        <w:rPr>
          <w:rFonts w:ascii="Arial" w:hAnsi="Arial"/>
          <w:b w:val="0"/>
        </w:rPr>
        <w:t>15. Audit Evidence</w:t>
      </w:r>
    </w:p>
    <w:p>
      <w:r>
        <w:rPr>
          <w:rFonts w:ascii="Arial" w:hAnsi="Arial"/>
          <w:b w:val="0"/>
        </w:rPr>
        <w:t>Evidence supporting the controls described in this document is maintained within the respective IDFC FIRST Bank technology platforms and authorised repositories. This includes GoCD pipeline execution and approval history, Bitbucket pull requests and code reviews, SonarQube quality-gate results, Twistlock container-image scan results, Amazon ECR image records, Amazon EKS deployment and rollout history, monitoring dashboards, VAPT reports and DR-test records. Where the actual process uses a change ticket or RITM, the applicable record forms part of the deployment evidence. Evidence will be made available to authorised auditors upon request. Secret values, credentials, private keys and access tokens must not be included in audit evidence.</w:t>
      </w:r>
    </w:p>
    <w:p>
      <w:pPr>
        <w:spacing w:after="0"/>
      </w:pPr>
    </w:p>
    <w:p>
      <w:pPr>
        <w:pStyle w:val="Heading1"/>
      </w:pPr>
      <w:r>
        <w:rPr>
          <w:rFonts w:ascii="Arial" w:hAnsi="Arial"/>
          <w:b w:val="0"/>
        </w:rPr>
        <w:t>16. Roles and Responsibilities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A6192E"/>
          </w:tcPr>
          <w:p>
            <w:r/>
            <w:r>
              <w:rPr>
                <w:rFonts w:ascii="Arial" w:hAnsi="Arial"/>
                <w:b/>
                <w:color w:val="FFFFFF"/>
                <w:sz w:val="16"/>
              </w:rPr>
              <w:t>Role / Team</w:t>
            </w:r>
          </w:p>
        </w:tc>
        <w:tc>
          <w:tcPr>
            <w:tcW w:type="dxa" w:w="6912"/>
            <w:vAlign w:val="center"/>
            <w:shd w:fill="A6192E"/>
          </w:tcPr>
          <w:p>
            <w:r/>
            <w:r>
              <w:rPr>
                <w:rFonts w:ascii="Arial" w:hAnsi="Arial"/>
                <w:b/>
                <w:color w:val="FFFFFF"/>
                <w:sz w:val="16"/>
              </w:rPr>
              <w:t>Responsibility</w:t>
            </w:r>
          </w:p>
        </w:tc>
      </w:tr>
      <w:tr>
        <w:tc>
          <w:tcPr>
            <w:tcW w:type="dxa" w:w="2880"/>
            <w:vAlign w:val="center"/>
          </w:tcPr>
          <w:p>
            <w:r/>
            <w:r>
              <w:rPr>
                <w:rFonts w:ascii="Arial" w:hAnsi="Arial"/>
                <w:b w:val="0"/>
                <w:sz w:val="16"/>
              </w:rPr>
              <w:t>DevOps / Cloud Team</w:t>
            </w:r>
          </w:p>
        </w:tc>
        <w:tc>
          <w:tcPr>
            <w:tcW w:type="dxa" w:w="6912"/>
            <w:vAlign w:val="center"/>
          </w:tcPr>
          <w:p>
            <w:r/>
            <w:r>
              <w:rPr>
                <w:rFonts w:ascii="Arial" w:hAnsi="Arial"/>
                <w:b w:val="0"/>
                <w:sz w:val="16"/>
              </w:rPr>
              <w:t>AWS, EKS, VPC, deployment infrastructure and DR platform operations</w:t>
            </w:r>
          </w:p>
        </w:tc>
      </w:tr>
      <w:tr>
        <w:tc>
          <w:tcPr>
            <w:tcW w:type="dxa" w:w="2880"/>
            <w:vAlign w:val="center"/>
            <w:shd w:fill="FAFAFA"/>
          </w:tcPr>
          <w:p>
            <w:r/>
            <w:r>
              <w:rPr>
                <w:rFonts w:ascii="Arial" w:hAnsi="Arial"/>
                <w:b w:val="0"/>
                <w:sz w:val="16"/>
              </w:rPr>
              <w:t>Information Security</w:t>
            </w:r>
          </w:p>
        </w:tc>
        <w:tc>
          <w:tcPr>
            <w:tcW w:type="dxa" w:w="6912"/>
            <w:vAlign w:val="center"/>
            <w:shd w:fill="FAFAFA"/>
          </w:tcPr>
          <w:p>
            <w:r/>
            <w:r>
              <w:rPr>
                <w:rFonts w:ascii="Arial" w:hAnsi="Arial"/>
                <w:b w:val="0"/>
                <w:sz w:val="16"/>
              </w:rPr>
              <w:t>VAPT, security review and vulnerability-governance oversight</w:t>
            </w:r>
          </w:p>
        </w:tc>
      </w:tr>
      <w:tr>
        <w:tc>
          <w:tcPr>
            <w:tcW w:type="dxa" w:w="2880"/>
            <w:vAlign w:val="center"/>
          </w:tcPr>
          <w:p>
            <w:r/>
            <w:r>
              <w:rPr>
                <w:rFonts w:ascii="Arial" w:hAnsi="Arial"/>
                <w:b w:val="0"/>
                <w:sz w:val="16"/>
              </w:rPr>
              <w:t>Application / Project Owners</w:t>
            </w:r>
          </w:p>
        </w:tc>
        <w:tc>
          <w:tcPr>
            <w:tcW w:type="dxa" w:w="6912"/>
            <w:vAlign w:val="center"/>
          </w:tcPr>
          <w:p>
            <w:r/>
            <w:r>
              <w:rPr>
                <w:rFonts w:ascii="Arial" w:hAnsi="Arial"/>
                <w:b w:val="0"/>
                <w:sz w:val="16"/>
              </w:rPr>
              <w:t>Project-specific APIs, data classification, business controls and evidence</w:t>
            </w:r>
          </w:p>
        </w:tc>
      </w:tr>
    </w:tbl>
    <w:p>
      <w:pPr>
        <w:spacing w:after="0"/>
      </w:pPr>
    </w:p>
    <w:p>
      <w:r>
        <w:br w:type="page"/>
      </w:r>
    </w:p>
    <w:p>
      <w:pPr>
        <w:pStyle w:val="Heading1"/>
      </w:pPr>
      <w:r>
        <w:rPr>
          <w:rFonts w:ascii="Arial" w:hAnsi="Arial"/>
          <w:b w:val="0"/>
        </w:rPr>
        <w:t>17. Document Approval and Change History</w:t>
      </w:r>
    </w:p>
    <w:p>
      <w:pPr>
        <w:pStyle w:val="Heading2"/>
      </w:pPr>
      <w:r>
        <w:rPr>
          <w:rFonts w:ascii="Arial" w:hAnsi="Arial"/>
          <w:b w:val="0"/>
        </w:rPr>
        <w:t>17.1 Approval</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A6192E"/>
          </w:tcPr>
          <w:p>
            <w:r/>
            <w:r>
              <w:rPr>
                <w:rFonts w:ascii="Arial" w:hAnsi="Arial"/>
                <w:b/>
                <w:color w:val="FFFFFF"/>
                <w:sz w:val="18"/>
              </w:rPr>
              <w:t>Role</w:t>
            </w:r>
          </w:p>
        </w:tc>
        <w:tc>
          <w:tcPr>
            <w:tcW w:type="dxa" w:w="4320"/>
            <w:vAlign w:val="center"/>
            <w:shd w:fill="A6192E"/>
          </w:tcPr>
          <w:p>
            <w:r/>
            <w:r>
              <w:rPr>
                <w:rFonts w:ascii="Arial" w:hAnsi="Arial"/>
                <w:b/>
                <w:color w:val="FFFFFF"/>
                <w:sz w:val="18"/>
              </w:rPr>
              <w:t>Name</w:t>
            </w:r>
          </w:p>
        </w:tc>
        <w:tc>
          <w:tcPr>
            <w:tcW w:type="dxa" w:w="3312"/>
            <w:vAlign w:val="center"/>
            <w:shd w:fill="A6192E"/>
          </w:tcPr>
          <w:p>
            <w:r/>
            <w:r>
              <w:rPr>
                <w:rFonts w:ascii="Arial" w:hAnsi="Arial"/>
                <w:b/>
                <w:color w:val="FFFFFF"/>
                <w:sz w:val="18"/>
              </w:rPr>
              <w:t>Approval / Date</w:t>
            </w:r>
          </w:p>
        </w:tc>
      </w:tr>
      <w:tr>
        <w:tc>
          <w:tcPr>
            <w:tcW w:type="dxa" w:w="2160"/>
            <w:vAlign w:val="center"/>
          </w:tcPr>
          <w:p>
            <w:r/>
            <w:r>
              <w:rPr>
                <w:rFonts w:ascii="Arial" w:hAnsi="Arial"/>
                <w:b w:val="0"/>
                <w:sz w:val="18"/>
              </w:rPr>
              <w:t>Written By</w:t>
            </w:r>
          </w:p>
        </w:tc>
        <w:tc>
          <w:tcPr>
            <w:tcW w:type="dxa" w:w="4320"/>
            <w:vAlign w:val="center"/>
          </w:tcPr>
          <w:p>
            <w:r/>
            <w:r>
              <w:rPr>
                <w:rFonts w:ascii="Arial" w:hAnsi="Arial"/>
                <w:b w:val="0"/>
                <w:sz w:val="18"/>
              </w:rPr>
              <w:t>Dileep Kumar Maurya</w:t>
            </w:r>
          </w:p>
        </w:tc>
        <w:tc>
          <w:tcPr>
            <w:tcW w:type="dxa" w:w="3312"/>
            <w:vAlign w:val="center"/>
          </w:tcPr>
          <w:p>
            <w:pPr>
              <w:spacing w:after="0" w:before="0"/>
            </w:pPr>
            <w:r/>
            <w:r>
              <w:rPr>
                <w:rFonts w:ascii="Arial" w:hAnsi="Arial"/>
                <w:b w:val="0"/>
                <w:sz w:val="16"/>
              </w:rPr>
              <w:t>21-Jul-2026</w:t>
            </w:r>
          </w:p>
        </w:tc>
      </w:tr>
      <w:tr>
        <w:tc>
          <w:tcPr>
            <w:tcW w:type="dxa" w:w="2160"/>
            <w:vAlign w:val="center"/>
            <w:shd w:fill="FAFAFA"/>
          </w:tcPr>
          <w:p>
            <w:r/>
            <w:r>
              <w:rPr>
                <w:rFonts w:ascii="Arial" w:hAnsi="Arial"/>
                <w:b w:val="0"/>
                <w:sz w:val="18"/>
              </w:rPr>
              <w:t>Reviewed By</w:t>
            </w:r>
          </w:p>
        </w:tc>
        <w:tc>
          <w:tcPr>
            <w:tcW w:type="dxa" w:w="4320"/>
            <w:vAlign w:val="center"/>
            <w:shd w:fill="FAFAFA"/>
          </w:tcPr>
          <w:p>
            <w:r/>
            <w:r>
              <w:rPr>
                <w:rFonts w:ascii="Arial" w:hAnsi="Arial"/>
                <w:b w:val="0"/>
                <w:sz w:val="18"/>
              </w:rPr>
              <w:t>Rashi Bansal</w:t>
            </w:r>
          </w:p>
        </w:tc>
        <w:tc>
          <w:tcPr>
            <w:tcW w:type="dxa" w:w="3312"/>
            <w:vAlign w:val="center"/>
            <w:shd w:fill="FAFAFA"/>
          </w:tcPr>
          <w:p>
            <w:r/>
            <w:r>
              <w:rPr>
                <w:rFonts w:ascii="Arial" w:hAnsi="Arial"/>
                <w:b w:val="0"/>
                <w:sz w:val="18"/>
              </w:rPr>
              <w:t>________________</w:t>
            </w:r>
          </w:p>
        </w:tc>
      </w:tr>
      <w:tr>
        <w:tc>
          <w:tcPr>
            <w:tcW w:type="dxa" w:w="2160"/>
            <w:vAlign w:val="center"/>
          </w:tcPr>
          <w:p>
            <w:r/>
            <w:r>
              <w:rPr>
                <w:rFonts w:ascii="Arial" w:hAnsi="Arial"/>
                <w:b w:val="0"/>
                <w:sz w:val="18"/>
              </w:rPr>
              <w:t>Approved By</w:t>
            </w:r>
          </w:p>
        </w:tc>
        <w:tc>
          <w:tcPr>
            <w:tcW w:type="dxa" w:w="4320"/>
            <w:vAlign w:val="center"/>
          </w:tcPr>
          <w:p>
            <w:r/>
            <w:r>
              <w:rPr>
                <w:rFonts w:ascii="Arial" w:hAnsi="Arial"/>
                <w:b w:val="0"/>
                <w:sz w:val="18"/>
              </w:rPr>
              <w:t>Prakash Rangaraj</w:t>
            </w:r>
          </w:p>
        </w:tc>
        <w:tc>
          <w:tcPr>
            <w:tcW w:type="dxa" w:w="3312"/>
            <w:vAlign w:val="center"/>
          </w:tcPr>
          <w:p>
            <w:r/>
            <w:r>
              <w:rPr>
                <w:rFonts w:ascii="Arial" w:hAnsi="Arial"/>
                <w:b w:val="0"/>
                <w:sz w:val="18"/>
              </w:rPr>
              <w:t>________________</w:t>
            </w:r>
          </w:p>
        </w:tc>
      </w:tr>
    </w:tbl>
    <w:p>
      <w:pPr>
        <w:spacing w:after="0"/>
      </w:pPr>
    </w:p>
    <w:p>
      <w:pPr>
        <w:pStyle w:val="Heading2"/>
      </w:pPr>
      <w:r>
        <w:rPr>
          <w:rFonts w:ascii="Arial" w:hAnsi="Arial"/>
          <w:b w:val="0"/>
        </w:rPr>
        <w:t>17.2 Change History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A6192E"/>
          </w:tcPr>
          <w:p>
            <w:r/>
            <w:r>
              <w:rPr>
                <w:rFonts w:ascii="Arial" w:hAnsi="Arial"/>
                <w:b/>
                <w:color w:val="FFFFFF"/>
                <w:sz w:val="17"/>
              </w:rPr>
              <w:t>Version</w:t>
            </w:r>
          </w:p>
        </w:tc>
        <w:tc>
          <w:tcPr>
            <w:tcW w:type="dxa" w:w="1728"/>
            <w:vAlign w:val="center"/>
            <w:shd w:fill="A6192E"/>
          </w:tcPr>
          <w:p>
            <w:r/>
            <w:r>
              <w:rPr>
                <w:rFonts w:ascii="Arial" w:hAnsi="Arial"/>
                <w:b/>
                <w:color w:val="FFFFFF"/>
                <w:sz w:val="17"/>
              </w:rPr>
              <w:t>Date</w:t>
            </w:r>
          </w:p>
        </w:tc>
        <w:tc>
          <w:tcPr>
            <w:tcW w:type="dxa" w:w="2880"/>
            <w:vAlign w:val="center"/>
            <w:shd w:fill="A6192E"/>
          </w:tcPr>
          <w:p>
            <w:r/>
            <w:r>
              <w:rPr>
                <w:rFonts w:ascii="Arial" w:hAnsi="Arial"/>
                <w:b/>
                <w:color w:val="FFFFFF"/>
                <w:sz w:val="17"/>
              </w:rPr>
              <w:t>Author</w:t>
            </w:r>
          </w:p>
        </w:tc>
        <w:tc>
          <w:tcPr>
            <w:tcW w:type="dxa" w:w="4320"/>
            <w:vAlign w:val="center"/>
            <w:shd w:fill="A6192E"/>
          </w:tcPr>
          <w:p>
            <w:r/>
            <w:r>
              <w:rPr>
                <w:rFonts w:ascii="Arial" w:hAnsi="Arial"/>
                <w:b/>
                <w:color w:val="FFFFFF"/>
                <w:sz w:val="17"/>
              </w:rPr>
              <w:t>Change Description</w:t>
            </w:r>
          </w:p>
        </w:tc>
      </w:tr>
      <w:tr>
        <w:tc>
          <w:tcPr>
            <w:tcW w:type="dxa" w:w="1152"/>
            <w:vAlign w:val="center"/>
          </w:tcPr>
          <w:p>
            <w:pPr>
              <w:spacing w:after="0" w:before="0"/>
            </w:pPr>
            <w:r/>
            <w:r>
              <w:rPr>
                <w:rFonts w:ascii="Arial" w:hAnsi="Arial"/>
                <w:b w:val="0"/>
                <w:sz w:val="16"/>
              </w:rPr>
              <w:t>1.0</w:t>
            </w:r>
          </w:p>
        </w:tc>
        <w:tc>
          <w:tcPr>
            <w:tcW w:type="dxa" w:w="1728"/>
            <w:vAlign w:val="center"/>
          </w:tcPr>
          <w:p>
            <w:pPr>
              <w:spacing w:after="0" w:before="0"/>
            </w:pPr>
            <w:r/>
            <w:r>
              <w:rPr>
                <w:rFonts w:ascii="Arial" w:hAnsi="Arial"/>
                <w:b w:val="0"/>
                <w:sz w:val="16"/>
              </w:rPr>
              <w:t>21-Jul-2026</w:t>
            </w:r>
          </w:p>
        </w:tc>
        <w:tc>
          <w:tcPr>
            <w:tcW w:type="dxa" w:w="2880"/>
            <w:vAlign w:val="center"/>
          </w:tcPr>
          <w:p>
            <w:pPr>
              <w:spacing w:after="0" w:before="0"/>
            </w:pPr>
            <w:r/>
            <w:r>
              <w:rPr>
                <w:rFonts w:ascii="Arial" w:hAnsi="Arial"/>
                <w:b w:val="0"/>
                <w:sz w:val="16"/>
              </w:rPr>
              <w:t>Dileep Kumar Maurya</w:t>
            </w:r>
          </w:p>
        </w:tc>
        <w:tc>
          <w:tcPr>
            <w:tcW w:type="dxa" w:w="4320"/>
            <w:vAlign w:val="center"/>
          </w:tcPr>
          <w:p>
            <w:r>
              <w:t>Initial issue</w:t>
            </w:r>
          </w:p>
        </w:tc>
      </w:tr>
    </w:tbl>
    <w:p>
      <w:pPr>
        <w:spacing w:after="0"/>
      </w:pPr>
    </w:p>
    <w:p>
      <w:pPr>
        <w:pStyle w:val="Heading1"/>
      </w:pPr>
      <w:r>
        <w:t>Appendix A - EKS Cluster Inventory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440"/>
            <w:vAlign w:val="center"/>
            <w:shd w:fill="A6192E"/>
          </w:tcPr>
          <w:p>
            <w:r/>
            <w:r>
              <w:rPr>
                <w:rFonts w:ascii="Arial" w:hAnsi="Arial"/>
                <w:b/>
                <w:color w:val="FFFFFF"/>
                <w:sz w:val="16"/>
              </w:rPr>
              <w:t>Environment</w:t>
            </w:r>
          </w:p>
        </w:tc>
        <w:tc>
          <w:tcPr>
            <w:tcW w:type="dxa" w:w="1584"/>
            <w:vAlign w:val="center"/>
            <w:shd w:fill="A6192E"/>
          </w:tcPr>
          <w:p>
            <w:r/>
            <w:r>
              <w:rPr>
                <w:rFonts w:ascii="Arial" w:hAnsi="Arial"/>
                <w:b/>
                <w:color w:val="FFFFFF"/>
                <w:sz w:val="16"/>
              </w:rPr>
              <w:t>Region</w:t>
            </w:r>
          </w:p>
        </w:tc>
        <w:tc>
          <w:tcPr>
            <w:tcW w:type="dxa" w:w="4176"/>
            <w:vAlign w:val="center"/>
            <w:shd w:fill="A6192E"/>
          </w:tcPr>
          <w:p>
            <w:r/>
            <w:r>
              <w:rPr>
                <w:rFonts w:ascii="Arial" w:hAnsi="Arial"/>
                <w:b/>
                <w:color w:val="FFFFFF"/>
                <w:sz w:val="16"/>
              </w:rPr>
              <w:t>Cluster Name</w:t>
            </w:r>
          </w:p>
        </w:tc>
        <w:tc>
          <w:tcPr>
            <w:tcW w:type="dxa" w:w="1440"/>
            <w:vAlign w:val="center"/>
            <w:shd w:fill="A6192E"/>
          </w:tcPr>
          <w:p>
            <w:r/>
            <w:r>
              <w:rPr>
                <w:rFonts w:ascii="Arial" w:hAnsi="Arial"/>
                <w:b/>
                <w:color w:val="FFFFFF"/>
                <w:sz w:val="16"/>
              </w:rPr>
              <w:t>Kubernetes</w:t>
            </w:r>
          </w:p>
        </w:tc>
        <w:tc>
          <w:tcPr>
            <w:tcW w:type="dxa" w:w="1440"/>
            <w:vAlign w:val="center"/>
            <w:shd w:fill="A6192E"/>
          </w:tcPr>
          <w:p>
            <w:r/>
            <w:r>
              <w:rPr>
                <w:rFonts w:ascii="Arial" w:hAnsi="Arial"/>
                <w:b/>
                <w:color w:val="FFFFFF"/>
                <w:sz w:val="16"/>
              </w:rPr>
              <w:t>AZs</w:t>
            </w:r>
          </w:p>
        </w:tc>
      </w:tr>
      <w:tr>
        <w:tc>
          <w:tcPr>
            <w:tcW w:type="dxa" w:w="1440"/>
            <w:vAlign w:val="center"/>
          </w:tcPr>
          <w:p>
            <w:r/>
            <w:r>
              <w:rPr>
                <w:rFonts w:ascii="Arial" w:hAnsi="Arial"/>
                <w:b w:val="0"/>
                <w:sz w:val="16"/>
              </w:rPr>
              <w:t>DEV</w:t>
            </w:r>
          </w:p>
        </w:tc>
        <w:tc>
          <w:tcPr>
            <w:tcW w:type="dxa" w:w="1584"/>
            <w:vAlign w:val="center"/>
          </w:tcPr>
          <w:p>
            <w:r/>
            <w:r>
              <w:rPr>
                <w:rFonts w:ascii="Arial" w:hAnsi="Arial"/>
                <w:b w:val="0"/>
                <w:sz w:val="16"/>
              </w:rPr>
              <w:t>ap-south-1</w:t>
            </w:r>
          </w:p>
        </w:tc>
        <w:tc>
          <w:tcPr>
            <w:tcW w:type="dxa" w:w="4176"/>
            <w:vAlign w:val="center"/>
          </w:tcPr>
          <w:p>
            <w:r/>
            <w:r>
              <w:rPr>
                <w:rFonts w:ascii="Arial" w:hAnsi="Arial"/>
                <w:b w:val="0"/>
                <w:sz w:val="16"/>
              </w:rPr>
              <w:t>dcawsapifactoryjavadev001</w:t>
            </w:r>
          </w:p>
        </w:tc>
        <w:tc>
          <w:tcPr>
            <w:tcW w:type="dxa" w:w="1440"/>
            <w:vAlign w:val="center"/>
          </w:tcPr>
          <w:p>
            <w:r/>
            <w:r>
              <w:rPr>
                <w:rFonts w:ascii="Arial" w:hAnsi="Arial"/>
                <w:b w:val="0"/>
                <w:sz w:val="16"/>
              </w:rPr>
              <w:t>1.34</w:t>
            </w:r>
          </w:p>
        </w:tc>
        <w:tc>
          <w:tcPr>
            <w:tcW w:type="dxa" w:w="1440"/>
            <w:vAlign w:val="center"/>
          </w:tcPr>
          <w:p>
            <w:r/>
            <w:r>
              <w:rPr>
                <w:rFonts w:ascii="Arial" w:hAnsi="Arial"/>
                <w:b w:val="0"/>
                <w:sz w:val="16"/>
              </w:rPr>
              <w:t>Environment-specific</w:t>
            </w:r>
          </w:p>
        </w:tc>
      </w:tr>
      <w:tr>
        <w:tc>
          <w:tcPr>
            <w:tcW w:type="dxa" w:w="1440"/>
            <w:vAlign w:val="center"/>
            <w:shd w:fill="FAFAFA"/>
          </w:tcPr>
          <w:p>
            <w:r/>
            <w:r>
              <w:rPr>
                <w:rFonts w:ascii="Arial" w:hAnsi="Arial"/>
                <w:b w:val="0"/>
                <w:sz w:val="16"/>
              </w:rPr>
              <w:t>SIT</w:t>
            </w:r>
          </w:p>
        </w:tc>
        <w:tc>
          <w:tcPr>
            <w:tcW w:type="dxa" w:w="1584"/>
            <w:vAlign w:val="center"/>
            <w:shd w:fill="FAFAFA"/>
          </w:tcPr>
          <w:p>
            <w:r/>
            <w:r>
              <w:rPr>
                <w:rFonts w:ascii="Arial" w:hAnsi="Arial"/>
                <w:b w:val="0"/>
                <w:sz w:val="16"/>
              </w:rPr>
              <w:t>ap-south-1</w:t>
            </w:r>
          </w:p>
        </w:tc>
        <w:tc>
          <w:tcPr>
            <w:tcW w:type="dxa" w:w="4176"/>
            <w:vAlign w:val="center"/>
            <w:shd w:fill="FAFAFA"/>
          </w:tcPr>
          <w:p>
            <w:r/>
            <w:r>
              <w:rPr>
                <w:rFonts w:ascii="Arial" w:hAnsi="Arial"/>
                <w:b w:val="0"/>
                <w:sz w:val="16"/>
              </w:rPr>
              <w:t>dcawsapifactoryjavasit001</w:t>
            </w:r>
          </w:p>
        </w:tc>
        <w:tc>
          <w:tcPr>
            <w:tcW w:type="dxa" w:w="1440"/>
            <w:vAlign w:val="center"/>
            <w:shd w:fill="FAFAFA"/>
          </w:tcPr>
          <w:p>
            <w:r/>
            <w:r>
              <w:rPr>
                <w:rFonts w:ascii="Arial" w:hAnsi="Arial"/>
                <w:b w:val="0"/>
                <w:sz w:val="16"/>
              </w:rPr>
              <w:t>1.34</w:t>
            </w:r>
          </w:p>
        </w:tc>
        <w:tc>
          <w:tcPr>
            <w:tcW w:type="dxa" w:w="1440"/>
            <w:vAlign w:val="center"/>
            <w:shd w:fill="FAFAFA"/>
          </w:tcPr>
          <w:p>
            <w:r/>
            <w:r>
              <w:rPr>
                <w:rFonts w:ascii="Arial" w:hAnsi="Arial"/>
                <w:b w:val="0"/>
                <w:sz w:val="16"/>
              </w:rPr>
              <w:t>Environment-specific</w:t>
            </w:r>
          </w:p>
        </w:tc>
      </w:tr>
      <w:tr>
        <w:tc>
          <w:tcPr>
            <w:tcW w:type="dxa" w:w="1440"/>
            <w:vAlign w:val="center"/>
          </w:tcPr>
          <w:p>
            <w:r/>
            <w:r>
              <w:rPr>
                <w:rFonts w:ascii="Arial" w:hAnsi="Arial"/>
                <w:b w:val="0"/>
                <w:sz w:val="16"/>
              </w:rPr>
              <w:t>UAT</w:t>
            </w:r>
          </w:p>
        </w:tc>
        <w:tc>
          <w:tcPr>
            <w:tcW w:type="dxa" w:w="1584"/>
            <w:vAlign w:val="center"/>
          </w:tcPr>
          <w:p>
            <w:r/>
            <w:r>
              <w:rPr>
                <w:rFonts w:ascii="Arial" w:hAnsi="Arial"/>
                <w:b w:val="0"/>
                <w:sz w:val="16"/>
              </w:rPr>
              <w:t>ap-south-1</w:t>
            </w:r>
          </w:p>
        </w:tc>
        <w:tc>
          <w:tcPr>
            <w:tcW w:type="dxa" w:w="4176"/>
            <w:vAlign w:val="center"/>
          </w:tcPr>
          <w:p>
            <w:r/>
            <w:r>
              <w:rPr>
                <w:rFonts w:ascii="Arial" w:hAnsi="Arial"/>
                <w:b w:val="0"/>
                <w:sz w:val="16"/>
              </w:rPr>
              <w:t>dcawsapifactoryjavauat001</w:t>
            </w:r>
          </w:p>
        </w:tc>
        <w:tc>
          <w:tcPr>
            <w:tcW w:type="dxa" w:w="1440"/>
            <w:vAlign w:val="center"/>
          </w:tcPr>
          <w:p>
            <w:r/>
            <w:r>
              <w:rPr>
                <w:rFonts w:ascii="Arial" w:hAnsi="Arial"/>
                <w:b w:val="0"/>
                <w:sz w:val="16"/>
              </w:rPr>
              <w:t>1.34</w:t>
            </w:r>
          </w:p>
        </w:tc>
        <w:tc>
          <w:tcPr>
            <w:tcW w:type="dxa" w:w="1440"/>
            <w:vAlign w:val="center"/>
          </w:tcPr>
          <w:p>
            <w:r/>
            <w:r>
              <w:rPr>
                <w:rFonts w:ascii="Arial" w:hAnsi="Arial"/>
                <w:b w:val="0"/>
                <w:sz w:val="16"/>
              </w:rPr>
              <w:t>Environment-specific</w:t>
            </w:r>
          </w:p>
        </w:tc>
      </w:tr>
      <w:tr>
        <w:tc>
          <w:tcPr>
            <w:tcW w:type="dxa" w:w="1440"/>
            <w:vAlign w:val="center"/>
            <w:shd w:fill="FAFAFA"/>
          </w:tcPr>
          <w:p>
            <w:r/>
            <w:r>
              <w:rPr>
                <w:rFonts w:ascii="Arial" w:hAnsi="Arial"/>
                <w:b w:val="0"/>
                <w:sz w:val="16"/>
              </w:rPr>
              <w:t>PRE-PROD</w:t>
            </w:r>
          </w:p>
        </w:tc>
        <w:tc>
          <w:tcPr>
            <w:tcW w:type="dxa" w:w="1584"/>
            <w:vAlign w:val="center"/>
            <w:shd w:fill="FAFAFA"/>
          </w:tcPr>
          <w:p>
            <w:r/>
            <w:r>
              <w:rPr>
                <w:rFonts w:ascii="Arial" w:hAnsi="Arial"/>
                <w:b w:val="0"/>
                <w:sz w:val="16"/>
              </w:rPr>
              <w:t>ap-south-1</w:t>
            </w:r>
          </w:p>
        </w:tc>
        <w:tc>
          <w:tcPr>
            <w:tcW w:type="dxa" w:w="4176"/>
            <w:vAlign w:val="center"/>
            <w:shd w:fill="FAFAFA"/>
          </w:tcPr>
          <w:p>
            <w:r/>
            <w:r>
              <w:rPr>
                <w:rFonts w:ascii="Arial" w:hAnsi="Arial"/>
                <w:b w:val="0"/>
                <w:sz w:val="16"/>
              </w:rPr>
              <w:t>dcawsapifactoryjavapreprod001</w:t>
            </w:r>
          </w:p>
        </w:tc>
        <w:tc>
          <w:tcPr>
            <w:tcW w:type="dxa" w:w="1440"/>
            <w:vAlign w:val="center"/>
            <w:shd w:fill="FAFAFA"/>
          </w:tcPr>
          <w:p>
            <w:r/>
            <w:r>
              <w:rPr>
                <w:rFonts w:ascii="Arial" w:hAnsi="Arial"/>
                <w:b w:val="0"/>
                <w:sz w:val="16"/>
              </w:rPr>
              <w:t>1.34</w:t>
            </w:r>
          </w:p>
        </w:tc>
        <w:tc>
          <w:tcPr>
            <w:tcW w:type="dxa" w:w="1440"/>
            <w:vAlign w:val="center"/>
            <w:shd w:fill="FAFAFA"/>
          </w:tcPr>
          <w:p>
            <w:r/>
            <w:r>
              <w:rPr>
                <w:rFonts w:ascii="Arial" w:hAnsi="Arial"/>
                <w:b w:val="0"/>
                <w:sz w:val="16"/>
              </w:rPr>
              <w:t>Environment-specific</w:t>
            </w:r>
          </w:p>
        </w:tc>
      </w:tr>
      <w:tr>
        <w:tc>
          <w:tcPr>
            <w:tcW w:type="dxa" w:w="1440"/>
            <w:vAlign w:val="center"/>
          </w:tcPr>
          <w:p>
            <w:r/>
            <w:r>
              <w:rPr>
                <w:rFonts w:ascii="Arial" w:hAnsi="Arial"/>
                <w:b w:val="0"/>
                <w:sz w:val="16"/>
              </w:rPr>
              <w:t>PROD</w:t>
            </w:r>
          </w:p>
        </w:tc>
        <w:tc>
          <w:tcPr>
            <w:tcW w:type="dxa" w:w="1584"/>
            <w:vAlign w:val="center"/>
          </w:tcPr>
          <w:p>
            <w:r/>
            <w:r>
              <w:rPr>
                <w:rFonts w:ascii="Arial" w:hAnsi="Arial"/>
                <w:b w:val="0"/>
                <w:sz w:val="16"/>
              </w:rPr>
              <w:t>ap-south-1</w:t>
            </w:r>
          </w:p>
        </w:tc>
        <w:tc>
          <w:tcPr>
            <w:tcW w:type="dxa" w:w="4176"/>
            <w:vAlign w:val="center"/>
          </w:tcPr>
          <w:p>
            <w:r/>
            <w:r>
              <w:rPr>
                <w:rFonts w:ascii="Arial" w:hAnsi="Arial"/>
                <w:b w:val="0"/>
                <w:sz w:val="16"/>
              </w:rPr>
              <w:t>dcawsapifactoryjavaprod001</w:t>
            </w:r>
          </w:p>
        </w:tc>
        <w:tc>
          <w:tcPr>
            <w:tcW w:type="dxa" w:w="1440"/>
            <w:vAlign w:val="center"/>
          </w:tcPr>
          <w:p>
            <w:r/>
            <w:r>
              <w:rPr>
                <w:rFonts w:ascii="Arial" w:hAnsi="Arial"/>
                <w:b w:val="0"/>
                <w:sz w:val="16"/>
              </w:rPr>
              <w:t>1.34</w:t>
            </w:r>
          </w:p>
        </w:tc>
        <w:tc>
          <w:tcPr>
            <w:tcW w:type="dxa" w:w="1440"/>
            <w:vAlign w:val="center"/>
          </w:tcPr>
          <w:p>
            <w:r/>
            <w:r>
              <w:rPr>
                <w:rFonts w:ascii="Arial" w:hAnsi="Arial"/>
                <w:b w:val="0"/>
                <w:sz w:val="16"/>
              </w:rPr>
              <w:t>3</w:t>
            </w:r>
          </w:p>
        </w:tc>
      </w:tr>
      <w:tr>
        <w:tc>
          <w:tcPr>
            <w:tcW w:type="dxa" w:w="1440"/>
            <w:vAlign w:val="center"/>
            <w:shd w:fill="FAFAFA"/>
          </w:tcPr>
          <w:p>
            <w:r/>
            <w:r>
              <w:rPr>
                <w:rFonts w:ascii="Arial" w:hAnsi="Arial"/>
                <w:b w:val="0"/>
                <w:sz w:val="16"/>
              </w:rPr>
              <w:t>DR</w:t>
            </w:r>
          </w:p>
        </w:tc>
        <w:tc>
          <w:tcPr>
            <w:tcW w:type="dxa" w:w="1584"/>
            <w:vAlign w:val="center"/>
            <w:shd w:fill="FAFAFA"/>
          </w:tcPr>
          <w:p>
            <w:r/>
            <w:r>
              <w:rPr>
                <w:rFonts w:ascii="Arial" w:hAnsi="Arial"/>
                <w:b w:val="0"/>
                <w:sz w:val="16"/>
              </w:rPr>
              <w:t>ap-south-2</w:t>
            </w:r>
          </w:p>
        </w:tc>
        <w:tc>
          <w:tcPr>
            <w:tcW w:type="dxa" w:w="4176"/>
            <w:vAlign w:val="center"/>
            <w:shd w:fill="FAFAFA"/>
          </w:tcPr>
          <w:p>
            <w:r/>
            <w:r>
              <w:rPr>
                <w:rFonts w:ascii="Arial" w:hAnsi="Arial"/>
                <w:b w:val="0"/>
                <w:sz w:val="16"/>
              </w:rPr>
              <w:t>drawsapifactoryjavaprod001</w:t>
            </w:r>
          </w:p>
        </w:tc>
        <w:tc>
          <w:tcPr>
            <w:tcW w:type="dxa" w:w="1440"/>
            <w:vAlign w:val="center"/>
            <w:shd w:fill="FAFAFA"/>
          </w:tcPr>
          <w:p>
            <w:r/>
            <w:r>
              <w:rPr>
                <w:rFonts w:ascii="Arial" w:hAnsi="Arial"/>
                <w:b w:val="0"/>
                <w:sz w:val="16"/>
              </w:rPr>
              <w:t>1.34</w:t>
            </w:r>
          </w:p>
        </w:tc>
        <w:tc>
          <w:tcPr>
            <w:tcW w:type="dxa" w:w="1440"/>
            <w:vAlign w:val="center"/>
            <w:shd w:fill="FAFAFA"/>
          </w:tcPr>
          <w:p>
            <w:r/>
            <w:r>
              <w:rPr>
                <w:rFonts w:ascii="Arial" w:hAnsi="Arial"/>
                <w:b w:val="0"/>
                <w:sz w:val="16"/>
              </w:rPr>
              <w:t>3</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FF4E5"/>
          </w:tcPr>
          <w:p>
            <w:r>
              <w:rPr>
                <w:b/>
                <w:color w:val="A6192E"/>
              </w:rPr>
              <w:t xml:space="preserve">Confidentiality: </w:t>
            </w:r>
            <w:r>
              <w:t>Exact cluster names are included because this document is intended only for authorised IDFC personnel and auditors. AWS account IDs remain omitted.</w:t>
            </w:r>
          </w:p>
        </w:tc>
      </w:tr>
    </w:tbl>
    <w:p>
      <w:pPr>
        <w:spacing w:after="0"/>
      </w:pPr>
    </w:p>
    <w:sectPr w:rsidR="00FC693F" w:rsidRPr="0006063C" w:rsidSect="00034616">
      <w:headerReference w:type="default" r:id="rId9"/>
      <w:footerReference w:type="default" r:id="rId10"/>
      <w:footerReference w:type="first" r:id="rId22"/>
      <w:footerReference w:type="even" r:id="rId2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IDFC FIRST Bank Confidential  |  Version 1.0  |  21-Jul-2026  |  Page </w:t>
    </w:r>
    <w:r>
      <w:rPr>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088"/>
      <w:gridCol w:w="7992"/>
    </w:tblGrid>
    <w:tr>
      <w:tc>
        <w:tcPr>
          <w:tcW w:type="dxa" w:w="5040"/>
        </w:tcPr>
        <w:p>
          <w:r>
            <w:drawing>
              <wp:inline xmlns:a="http://schemas.openxmlformats.org/drawingml/2006/main" xmlns:pic="http://schemas.openxmlformats.org/drawingml/2006/picture">
                <wp:extent cx="1143000" cy="398546"/>
                <wp:docPr id="1" name="Picture 1"/>
                <wp:cNvGraphicFramePr>
                  <a:graphicFrameLocks noChangeAspect="1"/>
                </wp:cNvGraphicFramePr>
                <a:graphic>
                  <a:graphicData uri="http://schemas.openxmlformats.org/drawingml/2006/picture">
                    <pic:pic>
                      <pic:nvPicPr>
                        <pic:cNvPr id="0" name="IDFC_FIRST_Bank_logo_exact_enhanced.png"/>
                        <pic:cNvPicPr/>
                      </pic:nvPicPr>
                      <pic:blipFill>
                        <a:blip r:embed="rId1"/>
                        <a:stretch>
                          <a:fillRect/>
                        </a:stretch>
                      </pic:blipFill>
                      <pic:spPr>
                        <a:xfrm>
                          <a:off x="0" y="0"/>
                          <a:ext cx="1143000" cy="398546"/>
                        </a:xfrm>
                        <a:prstGeom prst="rect"/>
                      </pic:spPr>
                    </pic:pic>
                  </a:graphicData>
                </a:graphic>
              </wp:inline>
            </w:drawing>
          </w:r>
        </w:p>
      </w:tc>
      <w:tc>
        <w:tcPr>
          <w:tcW w:type="dxa" w:w="5040"/>
        </w:tcPr>
        <w:p>
          <w:pPr>
            <w:jc w:val="right"/>
          </w:pPr>
          <w:r>
            <w:rPr>
              <w:rFonts w:ascii="Arial" w:hAnsi="Arial"/>
              <w:b/>
              <w:color w:val="A6192E"/>
              <w:sz w:val="16"/>
            </w:rPr>
            <w:t>API Platform | Technology Architecture, Security &amp; Operational Controls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A6192E"/>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rial" w:hAnsi="Arial"/>
      <w:b/>
      <w:bCs/>
      <w:color w:val="2952A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Arial" w:hAnsi="Arial"/>
      <w:b/>
      <w:color w:val="A619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5" Type="http://schemas.openxmlformats.org/officeDocument/2006/relationships/image" Target="media/image5.pn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png"/><Relationship Id="rId22" Type="http://schemas.openxmlformats.org/officeDocument/2006/relationships/footer" Target="footer2.xml"/><Relationship Id="rId23" Type="http://schemas.openxmlformats.org/officeDocument/2006/relationships/footer" Target="footer3.xml"/><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6"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Platform - Technology Architecture, Security &amp; Operational Controls</dc:title>
  <dc:subject>RBI / Regulatory Technology Audit Document</dc:subject>
  <dc:creator>Dileep Kumar Maurya</dc:creator>
  <cp:keywords>IDFC FIRST Bank, API Platform, RBI Audit, EKS, Java, Spring Boot</cp:keywords>
  <dc:description>Version 1.0 - Initial issue</dc:description>
  <cp:lastModifiedBy>Dileep Kumar Maurya</cp:lastModifiedBy>
  <cp:revision>1</cp:revision>
  <dcterms:created xsi:type="dcterms:W3CDTF">2013-12-23T23:15:00Z</dcterms:created>
  <dcterms:modified xsi:type="dcterms:W3CDTF">2026-07-17T00:00:00Z</dcterms:modified>
  <cp:category/>
</cp:coreProperties>
</file>