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283"/>
        <w:tblW w:w="14815" w:type="dxa"/>
        <w:tblLook w:val="04A0" w:firstRow="1" w:lastRow="0" w:firstColumn="1" w:lastColumn="0" w:noHBand="0" w:noVBand="1"/>
      </w:tblPr>
      <w:tblGrid>
        <w:gridCol w:w="4002"/>
        <w:gridCol w:w="1226"/>
        <w:gridCol w:w="4378"/>
        <w:gridCol w:w="5209"/>
      </w:tblGrid>
      <w:tr w:rsidR="00730610" w14:paraId="437B01D2" w14:textId="77777777" w:rsidTr="00730610">
        <w:trPr>
          <w:trHeight w:hRule="exact" w:val="1317"/>
        </w:trPr>
        <w:tc>
          <w:tcPr>
            <w:tcW w:w="3534" w:type="dxa"/>
          </w:tcPr>
          <w:p w14:paraId="4165C2E5" w14:textId="77777777" w:rsidR="00730610" w:rsidRPr="007D122B" w:rsidRDefault="00730610" w:rsidP="00730610">
            <w:pPr>
              <w:jc w:val="center"/>
              <w:rPr>
                <w:b/>
                <w:sz w:val="28"/>
              </w:rPr>
            </w:pPr>
            <w:r w:rsidRPr="007D122B">
              <w:rPr>
                <w:b/>
                <w:sz w:val="28"/>
              </w:rPr>
              <w:t>Title</w:t>
            </w:r>
          </w:p>
          <w:p w14:paraId="77F2A76D" w14:textId="77777777" w:rsidR="00730610" w:rsidRPr="007D122B" w:rsidRDefault="00730610" w:rsidP="00730610">
            <w:pPr>
              <w:jc w:val="center"/>
              <w:rPr>
                <w:b/>
                <w:sz w:val="22"/>
              </w:rPr>
            </w:pPr>
          </w:p>
        </w:tc>
        <w:tc>
          <w:tcPr>
            <w:tcW w:w="1260" w:type="dxa"/>
          </w:tcPr>
          <w:p w14:paraId="330DF171" w14:textId="77777777" w:rsidR="00730610" w:rsidRPr="007D122B" w:rsidRDefault="00730610" w:rsidP="00730610">
            <w:pPr>
              <w:jc w:val="center"/>
              <w:rPr>
                <w:b/>
                <w:sz w:val="28"/>
              </w:rPr>
            </w:pPr>
            <w:r w:rsidRPr="007D122B">
              <w:rPr>
                <w:b/>
                <w:sz w:val="28"/>
              </w:rPr>
              <w:t>Year</w:t>
            </w:r>
          </w:p>
        </w:tc>
        <w:tc>
          <w:tcPr>
            <w:tcW w:w="4590" w:type="dxa"/>
          </w:tcPr>
          <w:p w14:paraId="38F444CF" w14:textId="77777777" w:rsidR="00730610" w:rsidRPr="00C52121" w:rsidRDefault="00730610" w:rsidP="00730610">
            <w:pPr>
              <w:jc w:val="center"/>
              <w:rPr>
                <w:b/>
                <w:sz w:val="28"/>
              </w:rPr>
            </w:pPr>
            <w:r w:rsidRPr="00C52121">
              <w:rPr>
                <w:b/>
                <w:sz w:val="28"/>
              </w:rPr>
              <w:t xml:space="preserve">Methodology </w:t>
            </w:r>
          </w:p>
        </w:tc>
        <w:tc>
          <w:tcPr>
            <w:tcW w:w="5431" w:type="dxa"/>
          </w:tcPr>
          <w:p w14:paraId="0E007AFD" w14:textId="77777777" w:rsidR="00730610" w:rsidRPr="0070783A" w:rsidRDefault="00730610" w:rsidP="00730610">
            <w:pPr>
              <w:jc w:val="center"/>
              <w:rPr>
                <w:b/>
                <w:sz w:val="28"/>
              </w:rPr>
            </w:pPr>
            <w:r>
              <w:rPr>
                <w:b/>
                <w:sz w:val="28"/>
              </w:rPr>
              <w:t>R</w:t>
            </w:r>
            <w:r w:rsidRPr="0070783A">
              <w:rPr>
                <w:b/>
                <w:sz w:val="28"/>
              </w:rPr>
              <w:t>emarks</w:t>
            </w:r>
          </w:p>
        </w:tc>
      </w:tr>
      <w:tr w:rsidR="00730610" w14:paraId="2DB47EE9" w14:textId="77777777" w:rsidTr="00730610">
        <w:trPr>
          <w:trHeight w:hRule="exact" w:val="2375"/>
        </w:trPr>
        <w:tc>
          <w:tcPr>
            <w:tcW w:w="3534" w:type="dxa"/>
          </w:tcPr>
          <w:p w14:paraId="61019AD2" w14:textId="77777777" w:rsidR="00730610" w:rsidRPr="00C10C45" w:rsidRDefault="00730610" w:rsidP="00730610">
            <w:pPr>
              <w:jc w:val="center"/>
              <w:rPr>
                <w:b/>
                <w:szCs w:val="24"/>
              </w:rPr>
            </w:pPr>
            <w:r w:rsidRPr="00C10C45">
              <w:rPr>
                <w:szCs w:val="24"/>
              </w:rPr>
              <w:t>A Comprehensive Approach to Vitamin Deficiency Detection through Image Analysis of Skin, Tongue, Eyes and Nail Images using Convolutional Neural Networks</w:t>
            </w:r>
          </w:p>
        </w:tc>
        <w:tc>
          <w:tcPr>
            <w:tcW w:w="1260" w:type="dxa"/>
          </w:tcPr>
          <w:p w14:paraId="159D59B6" w14:textId="77777777" w:rsidR="00730610" w:rsidRPr="007D122B" w:rsidRDefault="00730610" w:rsidP="00730610">
            <w:pPr>
              <w:jc w:val="center"/>
              <w:rPr>
                <w:sz w:val="22"/>
              </w:rPr>
            </w:pPr>
            <w:r w:rsidRPr="007D122B">
              <w:rPr>
                <w:sz w:val="22"/>
              </w:rPr>
              <w:t>2023</w:t>
            </w:r>
          </w:p>
        </w:tc>
        <w:tc>
          <w:tcPr>
            <w:tcW w:w="4590" w:type="dxa"/>
          </w:tcPr>
          <w:p w14:paraId="5087526A" w14:textId="77777777" w:rsidR="00730610" w:rsidRPr="00873BE2" w:rsidRDefault="00730610" w:rsidP="00730610">
            <w:pPr>
              <w:rPr>
                <w:sz w:val="22"/>
              </w:rPr>
            </w:pPr>
            <w:r w:rsidRPr="00873BE2">
              <w:rPr>
                <w:sz w:val="22"/>
              </w:rPr>
              <w:t xml:space="preserve">AI and image processing, especially using Convolutional Neural Networks (CNNs), offer promising solutions for early detection and diagnosis of such deficiencies. </w:t>
            </w:r>
          </w:p>
          <w:p w14:paraId="7271884B" w14:textId="77777777" w:rsidR="00730610" w:rsidRPr="00873BE2" w:rsidRDefault="00730610" w:rsidP="00730610">
            <w:pPr>
              <w:rPr>
                <w:sz w:val="22"/>
              </w:rPr>
            </w:pPr>
            <w:r w:rsidRPr="00CF658A">
              <w:rPr>
                <w:sz w:val="22"/>
              </w:rPr>
              <w:t>Integrating AI-driven image processing technologies into healthcare systems can revolutionize the detection and management of nutrient deficiencies, enhancing public health initiatives</w:t>
            </w:r>
          </w:p>
        </w:tc>
        <w:tc>
          <w:tcPr>
            <w:tcW w:w="5431" w:type="dxa"/>
          </w:tcPr>
          <w:p w14:paraId="088692A5" w14:textId="0BF7E332" w:rsidR="00730610" w:rsidRPr="00CF658A" w:rsidRDefault="004E24E0" w:rsidP="00730610">
            <w:pPr>
              <w:pStyle w:val="ListParagraph"/>
              <w:numPr>
                <w:ilvl w:val="0"/>
                <w:numId w:val="3"/>
              </w:numPr>
              <w:rPr>
                <w:sz w:val="22"/>
              </w:rPr>
            </w:pPr>
            <w:r w:rsidRPr="004E24E0">
              <w:rPr>
                <w:b/>
                <w:bCs/>
                <w:sz w:val="22"/>
              </w:rPr>
              <w:t>Data Collection and Diversity</w:t>
            </w:r>
            <w:r w:rsidRPr="004E24E0">
              <w:rPr>
                <w:sz w:val="22"/>
              </w:rPr>
              <w:t>: It's essential to collect a diverse range of visual data from individuals to train the AI model effectively. Mentioning the methods used to collect and validate visual data, as well as any efforts to ensure diversity in the dataset, would enhance the credibility of the research.</w:t>
            </w:r>
          </w:p>
        </w:tc>
      </w:tr>
      <w:tr w:rsidR="00730610" w14:paraId="6DD37984" w14:textId="77777777" w:rsidTr="004E24E0">
        <w:trPr>
          <w:trHeight w:hRule="exact" w:val="1990"/>
        </w:trPr>
        <w:tc>
          <w:tcPr>
            <w:tcW w:w="3534" w:type="dxa"/>
          </w:tcPr>
          <w:p w14:paraId="0075889D" w14:textId="77777777" w:rsidR="00730610" w:rsidRPr="00C10C45" w:rsidRDefault="00730610" w:rsidP="00730610">
            <w:pPr>
              <w:jc w:val="center"/>
              <w:rPr>
                <w:b/>
                <w:szCs w:val="24"/>
              </w:rPr>
            </w:pPr>
            <w:r w:rsidRPr="00C10C45">
              <w:rPr>
                <w:szCs w:val="24"/>
              </w:rPr>
              <w:t>Automated glaucoma screening method based on image segmentation and feature extraction</w:t>
            </w:r>
          </w:p>
        </w:tc>
        <w:tc>
          <w:tcPr>
            <w:tcW w:w="1260" w:type="dxa"/>
          </w:tcPr>
          <w:p w14:paraId="3806ABF4" w14:textId="77777777" w:rsidR="00730610" w:rsidRPr="007D122B" w:rsidRDefault="00730610" w:rsidP="00730610">
            <w:pPr>
              <w:jc w:val="center"/>
              <w:rPr>
                <w:sz w:val="22"/>
              </w:rPr>
            </w:pPr>
            <w:r>
              <w:rPr>
                <w:sz w:val="22"/>
              </w:rPr>
              <w:t>2022</w:t>
            </w:r>
          </w:p>
        </w:tc>
        <w:tc>
          <w:tcPr>
            <w:tcW w:w="4590" w:type="dxa"/>
          </w:tcPr>
          <w:p w14:paraId="398D9190" w14:textId="77777777" w:rsidR="00730610" w:rsidRDefault="006B5FF7" w:rsidP="00730610">
            <w:r>
              <w:t xml:space="preserve">A gradient boosting decision tree (GBDT) classifier for glaucoma screening is </w:t>
            </w:r>
            <w:proofErr w:type="gramStart"/>
            <w:r>
              <w:t>trained</w:t>
            </w:r>
            <w:proofErr w:type="gramEnd"/>
          </w:p>
          <w:p w14:paraId="4E6A066B" w14:textId="5BB872AC" w:rsidR="0042758D" w:rsidRPr="00C52121" w:rsidRDefault="0042758D" w:rsidP="00730610">
            <w:pPr>
              <w:rPr>
                <w:sz w:val="22"/>
              </w:rPr>
            </w:pPr>
            <w:r>
              <w:t>Using eye image dataset</w:t>
            </w:r>
          </w:p>
        </w:tc>
        <w:tc>
          <w:tcPr>
            <w:tcW w:w="5431" w:type="dxa"/>
          </w:tcPr>
          <w:p w14:paraId="548505EB" w14:textId="77777777" w:rsidR="00730610" w:rsidRPr="00935FA7" w:rsidRDefault="00730610" w:rsidP="00730610">
            <w:pPr>
              <w:pStyle w:val="ListParagraph"/>
              <w:numPr>
                <w:ilvl w:val="0"/>
                <w:numId w:val="2"/>
              </w:numPr>
              <w:rPr>
                <w:sz w:val="22"/>
              </w:rPr>
            </w:pPr>
            <w:r w:rsidRPr="00935FA7">
              <w:rPr>
                <w:sz w:val="22"/>
              </w:rPr>
              <w:t>Insufficient Discussion on Data Acquisition and Visualization.</w:t>
            </w:r>
          </w:p>
          <w:p w14:paraId="0E40FA6A" w14:textId="0D5AA0C2" w:rsidR="00730610" w:rsidRPr="004E24E0" w:rsidRDefault="004E24E0" w:rsidP="00730610">
            <w:pPr>
              <w:pStyle w:val="ListParagraph"/>
              <w:numPr>
                <w:ilvl w:val="0"/>
                <w:numId w:val="2"/>
              </w:numPr>
              <w:rPr>
                <w:sz w:val="22"/>
              </w:rPr>
            </w:pPr>
            <w:r w:rsidRPr="004E24E0">
              <w:rPr>
                <w:sz w:val="22"/>
              </w:rPr>
              <w:t>The combination of clinical measurement features and hidden texture and statistical features can obtain abundant evidence for glaucoma discrimination and greatly improve the accuracy of glaucoma screening classifier</w:t>
            </w:r>
          </w:p>
        </w:tc>
      </w:tr>
      <w:tr w:rsidR="005616A7" w14:paraId="12435F64" w14:textId="77777777" w:rsidTr="004E24E0">
        <w:trPr>
          <w:trHeight w:hRule="exact" w:val="1990"/>
        </w:trPr>
        <w:tc>
          <w:tcPr>
            <w:tcW w:w="3534" w:type="dxa"/>
          </w:tcPr>
          <w:p w14:paraId="16057A96" w14:textId="1081931F" w:rsidR="005616A7" w:rsidRPr="00C10C45" w:rsidRDefault="005616A7" w:rsidP="00730610">
            <w:pPr>
              <w:jc w:val="center"/>
              <w:rPr>
                <w:szCs w:val="24"/>
              </w:rPr>
            </w:pPr>
            <w:r>
              <w:t>Precision Nutrition. (2019). All About Nutrient Deficiencies. [online] https://www.precisionnutrition.com/aa-nutrientdeficiencies</w:t>
            </w:r>
          </w:p>
        </w:tc>
        <w:tc>
          <w:tcPr>
            <w:tcW w:w="1260" w:type="dxa"/>
          </w:tcPr>
          <w:p w14:paraId="6B3C8762" w14:textId="70746FF5" w:rsidR="005616A7" w:rsidRDefault="00964E73" w:rsidP="00730610">
            <w:pPr>
              <w:jc w:val="center"/>
              <w:rPr>
                <w:sz w:val="22"/>
              </w:rPr>
            </w:pPr>
            <w:r>
              <w:rPr>
                <w:sz w:val="22"/>
              </w:rPr>
              <w:t>2019</w:t>
            </w:r>
          </w:p>
        </w:tc>
        <w:tc>
          <w:tcPr>
            <w:tcW w:w="4590" w:type="dxa"/>
          </w:tcPr>
          <w:p w14:paraId="0C22B1F7" w14:textId="77777777" w:rsidR="005616A7" w:rsidRPr="00800B27" w:rsidRDefault="005616A7" w:rsidP="00730610">
            <w:pPr>
              <w:rPr>
                <w:lang w:val="en-IN"/>
              </w:rPr>
            </w:pPr>
          </w:p>
        </w:tc>
        <w:tc>
          <w:tcPr>
            <w:tcW w:w="5431" w:type="dxa"/>
          </w:tcPr>
          <w:p w14:paraId="2A1211D8" w14:textId="77777777" w:rsidR="005616A7" w:rsidRPr="00935FA7" w:rsidRDefault="005616A7" w:rsidP="00730610">
            <w:pPr>
              <w:pStyle w:val="ListParagraph"/>
              <w:numPr>
                <w:ilvl w:val="0"/>
                <w:numId w:val="2"/>
              </w:numPr>
              <w:rPr>
                <w:sz w:val="22"/>
              </w:rPr>
            </w:pPr>
          </w:p>
        </w:tc>
      </w:tr>
      <w:tr w:rsidR="00BF3B64" w14:paraId="0FAC6F62" w14:textId="77777777" w:rsidTr="00730610">
        <w:trPr>
          <w:trHeight w:hRule="exact" w:val="1459"/>
        </w:trPr>
        <w:tc>
          <w:tcPr>
            <w:tcW w:w="3534" w:type="dxa"/>
          </w:tcPr>
          <w:p w14:paraId="7919B2E0" w14:textId="32CD8821" w:rsidR="00BF3B64" w:rsidRPr="004E24E0" w:rsidRDefault="0042758D" w:rsidP="00730610">
            <w:pPr>
              <w:jc w:val="center"/>
              <w:rPr>
                <w:lang w:val="en-IN"/>
              </w:rPr>
            </w:pPr>
            <w:r>
              <w:rPr>
                <w:lang w:val="en-IN"/>
              </w:rPr>
              <w:t>V</w:t>
            </w:r>
            <w:r w:rsidRPr="0042758D">
              <w:rPr>
                <w:lang w:val="en-IN"/>
              </w:rPr>
              <w:t xml:space="preserve">itamin And Nutritional Deficiencies Cause Skin </w:t>
            </w:r>
            <w:proofErr w:type="gramStart"/>
            <w:r w:rsidRPr="0042758D">
              <w:rPr>
                <w:lang w:val="en-IN"/>
              </w:rPr>
              <w:t>And</w:t>
            </w:r>
            <w:proofErr w:type="gramEnd"/>
            <w:r w:rsidRPr="0042758D">
              <w:rPr>
                <w:lang w:val="en-IN"/>
              </w:rPr>
              <w:t xml:space="preserve"> Nail Changes</w:t>
            </w:r>
          </w:p>
        </w:tc>
        <w:tc>
          <w:tcPr>
            <w:tcW w:w="1260" w:type="dxa"/>
          </w:tcPr>
          <w:p w14:paraId="69F03B93" w14:textId="69CC3D55" w:rsidR="00BF3B64" w:rsidRDefault="0042758D" w:rsidP="00730610">
            <w:pPr>
              <w:jc w:val="center"/>
              <w:rPr>
                <w:sz w:val="22"/>
              </w:rPr>
            </w:pPr>
            <w:r>
              <w:rPr>
                <w:sz w:val="22"/>
              </w:rPr>
              <w:t>20</w:t>
            </w:r>
            <w:r w:rsidR="005616A7">
              <w:rPr>
                <w:sz w:val="22"/>
              </w:rPr>
              <w:t>19</w:t>
            </w:r>
          </w:p>
        </w:tc>
        <w:tc>
          <w:tcPr>
            <w:tcW w:w="4590" w:type="dxa"/>
          </w:tcPr>
          <w:p w14:paraId="402A6E83" w14:textId="71CECA6C" w:rsidR="00BF3B64" w:rsidRPr="004B04CC" w:rsidRDefault="00E05548" w:rsidP="00730610">
            <w:pPr>
              <w:rPr>
                <w:rFonts w:eastAsia="Times New Roman" w:cs="Times New Roman"/>
                <w:sz w:val="22"/>
                <w:szCs w:val="24"/>
              </w:rPr>
            </w:pPr>
            <w:r>
              <w:rPr>
                <w:sz w:val="22"/>
              </w:rPr>
              <w:t>I</w:t>
            </w:r>
            <w:r w:rsidRPr="00CF658A">
              <w:rPr>
                <w:sz w:val="22"/>
              </w:rPr>
              <w:t>mage processing technologies into healthcare systems can revolutionize the detection and management of nutrient deficiencies, enhancing public health initiatives</w:t>
            </w:r>
          </w:p>
        </w:tc>
        <w:tc>
          <w:tcPr>
            <w:tcW w:w="5431" w:type="dxa"/>
          </w:tcPr>
          <w:p w14:paraId="36DE77F3" w14:textId="72EAB1EF" w:rsidR="00BF3B64" w:rsidRDefault="00E05548" w:rsidP="00730610">
            <w:pPr>
              <w:pStyle w:val="ListParagraph"/>
              <w:numPr>
                <w:ilvl w:val="0"/>
                <w:numId w:val="5"/>
              </w:numPr>
              <w:rPr>
                <w:sz w:val="22"/>
              </w:rPr>
            </w:pPr>
            <w:r w:rsidRPr="00E05548">
              <w:rPr>
                <w:rFonts w:eastAsia="Times New Roman" w:cs="Times New Roman"/>
                <w:sz w:val="22"/>
                <w:szCs w:val="24"/>
              </w:rPr>
              <w:t>Dermatologic signs of biotin deficiency include thinning of hair and hair loss, patchy red rash (most commonly near the mouth), seborrheic dermatitis and fungal skin and nail infections</w:t>
            </w:r>
            <w:r>
              <w:rPr>
                <w:rFonts w:eastAsia="Times New Roman" w:cs="Times New Roman"/>
                <w:sz w:val="22"/>
                <w:szCs w:val="24"/>
              </w:rPr>
              <w:t>.</w:t>
            </w:r>
          </w:p>
        </w:tc>
      </w:tr>
      <w:tr w:rsidR="00730610" w14:paraId="3A9130F7" w14:textId="77777777" w:rsidTr="00730610">
        <w:trPr>
          <w:trHeight w:hRule="exact" w:val="1459"/>
        </w:trPr>
        <w:tc>
          <w:tcPr>
            <w:tcW w:w="3534" w:type="dxa"/>
          </w:tcPr>
          <w:p w14:paraId="56B93C49" w14:textId="77777777" w:rsidR="00730610" w:rsidRPr="004B04CC" w:rsidRDefault="00730610" w:rsidP="00730610">
            <w:pPr>
              <w:jc w:val="center"/>
              <w:rPr>
                <w:sz w:val="22"/>
              </w:rPr>
            </w:pPr>
            <w:r>
              <w:lastRenderedPageBreak/>
              <w:t>Adult blindness secondary to vitamin A deficiency associated with an eating disorder</w:t>
            </w:r>
          </w:p>
        </w:tc>
        <w:tc>
          <w:tcPr>
            <w:tcW w:w="1260" w:type="dxa"/>
          </w:tcPr>
          <w:p w14:paraId="1B4AA400" w14:textId="6AF4AE46" w:rsidR="00730610" w:rsidRPr="007D122B" w:rsidRDefault="00730610" w:rsidP="00730610">
            <w:pPr>
              <w:jc w:val="center"/>
              <w:rPr>
                <w:sz w:val="22"/>
              </w:rPr>
            </w:pPr>
            <w:r>
              <w:rPr>
                <w:sz w:val="22"/>
              </w:rPr>
              <w:t>20</w:t>
            </w:r>
            <w:r w:rsidR="005616A7">
              <w:rPr>
                <w:sz w:val="22"/>
              </w:rPr>
              <w:t>20</w:t>
            </w:r>
          </w:p>
        </w:tc>
        <w:tc>
          <w:tcPr>
            <w:tcW w:w="4590" w:type="dxa"/>
          </w:tcPr>
          <w:p w14:paraId="3519CF36" w14:textId="4AF943CB" w:rsidR="00730610" w:rsidRPr="00C52121" w:rsidRDefault="006B5FF7" w:rsidP="00730610">
            <w:pPr>
              <w:rPr>
                <w:sz w:val="22"/>
              </w:rPr>
            </w:pPr>
            <w:r>
              <w:t>This case report provides a clinical, ophthalmologic, and laboratory description in addition to a review of the medical literature</w:t>
            </w:r>
          </w:p>
        </w:tc>
        <w:tc>
          <w:tcPr>
            <w:tcW w:w="5431" w:type="dxa"/>
          </w:tcPr>
          <w:p w14:paraId="3A2F104D" w14:textId="01293ED4" w:rsidR="00730610" w:rsidRPr="0039522A" w:rsidRDefault="006B5FF7" w:rsidP="00730610">
            <w:pPr>
              <w:pStyle w:val="ListParagraph"/>
              <w:numPr>
                <w:ilvl w:val="0"/>
                <w:numId w:val="5"/>
              </w:numPr>
              <w:rPr>
                <w:b/>
                <w:sz w:val="22"/>
              </w:rPr>
            </w:pPr>
            <w:r>
              <w:t>The present report indicates that vitamin A deficiency secondary to eating disorders should be considered in the differential diagnosis of patients with severe dry eye and corneal ulceration.</w:t>
            </w:r>
          </w:p>
        </w:tc>
      </w:tr>
      <w:tr w:rsidR="00730610" w14:paraId="1123C9C3" w14:textId="77777777" w:rsidTr="00730610">
        <w:trPr>
          <w:trHeight w:hRule="exact" w:val="1450"/>
        </w:trPr>
        <w:tc>
          <w:tcPr>
            <w:tcW w:w="3534" w:type="dxa"/>
          </w:tcPr>
          <w:p w14:paraId="6F104925" w14:textId="77777777" w:rsidR="00730610" w:rsidRPr="0039522A" w:rsidRDefault="00730610" w:rsidP="00730610">
            <w:pPr>
              <w:jc w:val="center"/>
              <w:rPr>
                <w:sz w:val="22"/>
              </w:rPr>
            </w:pPr>
            <w:r>
              <w:t>Glossitis with linear lesions: An early sign of vitamin B12 deficiency</w:t>
            </w:r>
          </w:p>
        </w:tc>
        <w:tc>
          <w:tcPr>
            <w:tcW w:w="1260" w:type="dxa"/>
          </w:tcPr>
          <w:p w14:paraId="5ED31357" w14:textId="60E3290E" w:rsidR="00730610" w:rsidRPr="007D122B" w:rsidRDefault="006B5FF7" w:rsidP="00730610">
            <w:pPr>
              <w:jc w:val="center"/>
              <w:rPr>
                <w:sz w:val="22"/>
              </w:rPr>
            </w:pPr>
            <w:r>
              <w:rPr>
                <w:sz w:val="22"/>
              </w:rPr>
              <w:t>20</w:t>
            </w:r>
            <w:r w:rsidR="005616A7">
              <w:rPr>
                <w:sz w:val="22"/>
              </w:rPr>
              <w:t>23</w:t>
            </w:r>
          </w:p>
        </w:tc>
        <w:tc>
          <w:tcPr>
            <w:tcW w:w="4590" w:type="dxa"/>
          </w:tcPr>
          <w:p w14:paraId="42DB335C" w14:textId="24A8913B" w:rsidR="00730610" w:rsidRPr="00C52121" w:rsidRDefault="006B5FF7" w:rsidP="00730610">
            <w:pPr>
              <w:rPr>
                <w:sz w:val="22"/>
              </w:rPr>
            </w:pPr>
            <w:r>
              <w:t>Oral linear lesions associated with vitamin B12 deficiency. We suggest that this presentation is evocative of the deficit and precedes the onset of macrocytic anemia.</w:t>
            </w:r>
          </w:p>
        </w:tc>
        <w:tc>
          <w:tcPr>
            <w:tcW w:w="5431" w:type="dxa"/>
          </w:tcPr>
          <w:p w14:paraId="4761E1E4" w14:textId="71E96059" w:rsidR="00730610" w:rsidRPr="0039522A" w:rsidRDefault="006B5FF7" w:rsidP="00730610">
            <w:pPr>
              <w:pStyle w:val="ListParagraph"/>
              <w:numPr>
                <w:ilvl w:val="0"/>
                <w:numId w:val="5"/>
              </w:numPr>
              <w:rPr>
                <w:sz w:val="22"/>
              </w:rPr>
            </w:pPr>
            <w:r>
              <w:t>Low data to find the glossitis with linear lesions is characteristic of vitamin B12 deficiency in its early phases.</w:t>
            </w:r>
          </w:p>
        </w:tc>
      </w:tr>
      <w:tr w:rsidR="00730610" w14:paraId="3443F2A1" w14:textId="77777777" w:rsidTr="00FB096D">
        <w:trPr>
          <w:trHeight w:hRule="exact" w:val="2244"/>
        </w:trPr>
        <w:tc>
          <w:tcPr>
            <w:tcW w:w="3534" w:type="dxa"/>
          </w:tcPr>
          <w:p w14:paraId="250000D4" w14:textId="77777777" w:rsidR="00730610" w:rsidRPr="009A6E92" w:rsidRDefault="00730610" w:rsidP="00730610">
            <w:pPr>
              <w:jc w:val="center"/>
              <w:rPr>
                <w:sz w:val="22"/>
              </w:rPr>
            </w:pPr>
            <w:r>
              <w:t>Atrophic glossitis from vitamin B12 deficiency: a case misdiagnosed as burning mouth disorder</w:t>
            </w:r>
          </w:p>
        </w:tc>
        <w:tc>
          <w:tcPr>
            <w:tcW w:w="1260" w:type="dxa"/>
          </w:tcPr>
          <w:p w14:paraId="0C2C8755" w14:textId="471BE141" w:rsidR="00730610" w:rsidRPr="007D122B" w:rsidRDefault="006B5FF7" w:rsidP="00730610">
            <w:pPr>
              <w:jc w:val="center"/>
              <w:rPr>
                <w:sz w:val="22"/>
              </w:rPr>
            </w:pPr>
            <w:r>
              <w:rPr>
                <w:sz w:val="22"/>
              </w:rPr>
              <w:t>20</w:t>
            </w:r>
            <w:r w:rsidR="005616A7">
              <w:rPr>
                <w:sz w:val="22"/>
              </w:rPr>
              <w:t>22</w:t>
            </w:r>
          </w:p>
        </w:tc>
        <w:tc>
          <w:tcPr>
            <w:tcW w:w="4590" w:type="dxa"/>
          </w:tcPr>
          <w:p w14:paraId="235071D7" w14:textId="2EB64F44" w:rsidR="00730610" w:rsidRPr="00C52121" w:rsidRDefault="006B5FF7" w:rsidP="00730610">
            <w:pPr>
              <w:rPr>
                <w:sz w:val="22"/>
              </w:rPr>
            </w:pPr>
            <w:r>
              <w:t>The case presented in this article demonstrates that it is appropriate and necessary to screen for correctable causes in patients with burning mouth pain. Obtaining a meticulous history and physical examination in conjunction with ordering relevant laboratory tests, including serum levels of vitamin B12</w:t>
            </w:r>
          </w:p>
        </w:tc>
        <w:tc>
          <w:tcPr>
            <w:tcW w:w="5431" w:type="dxa"/>
          </w:tcPr>
          <w:p w14:paraId="160E0E36" w14:textId="264F585C" w:rsidR="00730610" w:rsidRPr="00A3292F" w:rsidRDefault="006B5FF7" w:rsidP="00730610">
            <w:pPr>
              <w:pStyle w:val="ListParagraph"/>
              <w:numPr>
                <w:ilvl w:val="0"/>
                <w:numId w:val="6"/>
              </w:numPr>
              <w:rPr>
                <w:sz w:val="22"/>
              </w:rPr>
            </w:pPr>
            <w:r>
              <w:t>Smooth, shiny tongue, demonstrating loss of filiform papillae and central fissuring. These findings fit the classic description of atrophic glossitis and can be seen with vitamin B12 deficiency.</w:t>
            </w:r>
          </w:p>
        </w:tc>
      </w:tr>
      <w:tr w:rsidR="00730610" w14:paraId="7719AC2B" w14:textId="77777777" w:rsidTr="00730610">
        <w:trPr>
          <w:trHeight w:hRule="exact" w:val="1585"/>
        </w:trPr>
        <w:tc>
          <w:tcPr>
            <w:tcW w:w="3534" w:type="dxa"/>
          </w:tcPr>
          <w:p w14:paraId="7FC727BB" w14:textId="77777777" w:rsidR="00730610" w:rsidRPr="0023492F" w:rsidRDefault="00730610" w:rsidP="00730610">
            <w:pPr>
              <w:jc w:val="center"/>
              <w:rPr>
                <w:sz w:val="22"/>
              </w:rPr>
            </w:pPr>
            <w:r>
              <w:t>Clinical manifestations of the mouth revealing Vitamin B12 deficiency before the onset of anemia</w:t>
            </w:r>
          </w:p>
        </w:tc>
        <w:tc>
          <w:tcPr>
            <w:tcW w:w="1260" w:type="dxa"/>
          </w:tcPr>
          <w:p w14:paraId="164C1C62" w14:textId="164B5134" w:rsidR="00730610" w:rsidRPr="007D122B" w:rsidRDefault="00730610" w:rsidP="00730610">
            <w:pPr>
              <w:jc w:val="center"/>
              <w:rPr>
                <w:sz w:val="22"/>
              </w:rPr>
            </w:pPr>
            <w:r>
              <w:rPr>
                <w:sz w:val="22"/>
              </w:rPr>
              <w:t>20</w:t>
            </w:r>
            <w:r w:rsidR="005616A7">
              <w:rPr>
                <w:sz w:val="22"/>
              </w:rPr>
              <w:t>22</w:t>
            </w:r>
          </w:p>
        </w:tc>
        <w:tc>
          <w:tcPr>
            <w:tcW w:w="4590" w:type="dxa"/>
          </w:tcPr>
          <w:p w14:paraId="00E9A15D" w14:textId="79BC76EB" w:rsidR="00730610" w:rsidRPr="00C52121" w:rsidRDefault="00E05548" w:rsidP="00730610">
            <w:pPr>
              <w:rPr>
                <w:sz w:val="22"/>
              </w:rPr>
            </w:pPr>
            <w:r>
              <w:rPr>
                <w:sz w:val="22"/>
              </w:rPr>
              <w:t>A</w:t>
            </w:r>
            <w:r w:rsidRPr="00E05548">
              <w:rPr>
                <w:sz w:val="22"/>
              </w:rPr>
              <w:t xml:space="preserve">ssociation of manifestations in the mouth and Vitamin B12 deficiency is already known. The signs are not specific to Vitamin B12 </w:t>
            </w:r>
            <w:proofErr w:type="gramStart"/>
            <w:r w:rsidRPr="00E05548">
              <w:rPr>
                <w:sz w:val="22"/>
              </w:rPr>
              <w:t>deficiency,</w:t>
            </w:r>
            <w:proofErr w:type="gramEnd"/>
            <w:r w:rsidRPr="00E05548">
              <w:rPr>
                <w:sz w:val="22"/>
              </w:rPr>
              <w:t xml:space="preserve"> however they may reveal the deficiency and this is often ignored and leads to delays in diagnosis.</w:t>
            </w:r>
          </w:p>
        </w:tc>
        <w:tc>
          <w:tcPr>
            <w:tcW w:w="5431" w:type="dxa"/>
          </w:tcPr>
          <w:p w14:paraId="54BD23F7" w14:textId="53B6F18F" w:rsidR="00730610" w:rsidRPr="00D84D8C" w:rsidRDefault="00D81287" w:rsidP="00D81287">
            <w:pPr>
              <w:pStyle w:val="ListParagraph"/>
              <w:numPr>
                <w:ilvl w:val="0"/>
                <w:numId w:val="7"/>
              </w:numPr>
              <w:rPr>
                <w:b/>
                <w:szCs w:val="24"/>
              </w:rPr>
            </w:pPr>
            <w:r w:rsidRPr="00D84D8C">
              <w:rPr>
                <w:szCs w:val="24"/>
              </w:rPr>
              <w:t>The combination of clinical measurement features and hidden texture and statistical features can obtain abundant evidence for glaucoma discrimination and greatly improve the accuracy of glaucoma screening classifier</w:t>
            </w:r>
          </w:p>
        </w:tc>
      </w:tr>
      <w:tr w:rsidR="00730610" w14:paraId="170C7DFE" w14:textId="77777777" w:rsidTr="00730610">
        <w:trPr>
          <w:trHeight w:hRule="exact" w:val="1711"/>
        </w:trPr>
        <w:tc>
          <w:tcPr>
            <w:tcW w:w="3534" w:type="dxa"/>
          </w:tcPr>
          <w:p w14:paraId="2EEEEDFA" w14:textId="579E6281" w:rsidR="00730610" w:rsidRPr="00C10C45" w:rsidRDefault="00730610" w:rsidP="00730610">
            <w:pPr>
              <w:jc w:val="center"/>
              <w:rPr>
                <w:sz w:val="22"/>
              </w:rPr>
            </w:pPr>
            <w:r w:rsidRPr="00C10C45">
              <w:rPr>
                <w:sz w:val="22"/>
              </w:rPr>
              <w:t xml:space="preserve">"The Diagnosis and Treatment of Nail Disorders". </w:t>
            </w:r>
            <w:proofErr w:type="spellStart"/>
            <w:r w:rsidRPr="00C10C45">
              <w:rPr>
                <w:sz w:val="22"/>
              </w:rPr>
              <w:t>Deutsches</w:t>
            </w:r>
            <w:proofErr w:type="spellEnd"/>
            <w:r w:rsidRPr="00C10C45">
              <w:rPr>
                <w:sz w:val="22"/>
              </w:rPr>
              <w:t xml:space="preserve"> </w:t>
            </w:r>
            <w:proofErr w:type="spellStart"/>
            <w:r w:rsidRPr="00C10C45">
              <w:rPr>
                <w:sz w:val="22"/>
              </w:rPr>
              <w:t>Arzteblatt</w:t>
            </w:r>
            <w:proofErr w:type="spellEnd"/>
            <w:r w:rsidRPr="00C10C45">
              <w:rPr>
                <w:sz w:val="22"/>
              </w:rPr>
              <w:t xml:space="preserve"> International.</w:t>
            </w:r>
          </w:p>
        </w:tc>
        <w:tc>
          <w:tcPr>
            <w:tcW w:w="1260" w:type="dxa"/>
          </w:tcPr>
          <w:p w14:paraId="1F2C4925" w14:textId="147B51E7" w:rsidR="00730610" w:rsidRPr="007D122B" w:rsidRDefault="00730610" w:rsidP="00730610">
            <w:pPr>
              <w:jc w:val="center"/>
              <w:rPr>
                <w:sz w:val="22"/>
              </w:rPr>
            </w:pPr>
            <w:r>
              <w:rPr>
                <w:sz w:val="22"/>
              </w:rPr>
              <w:t>20</w:t>
            </w:r>
            <w:r w:rsidR="005616A7">
              <w:rPr>
                <w:sz w:val="22"/>
              </w:rPr>
              <w:t>19</w:t>
            </w:r>
          </w:p>
        </w:tc>
        <w:tc>
          <w:tcPr>
            <w:tcW w:w="4590" w:type="dxa"/>
          </w:tcPr>
          <w:p w14:paraId="486CC304" w14:textId="0C850297" w:rsidR="00730610" w:rsidRPr="00C52121" w:rsidRDefault="00D84D8C" w:rsidP="00730610">
            <w:pPr>
              <w:rPr>
                <w:sz w:val="22"/>
              </w:rPr>
            </w:pPr>
            <w:r w:rsidRPr="00D84D8C">
              <w:rPr>
                <w:rFonts w:eastAsia="Times New Roman" w:cs="Times New Roman"/>
                <w:szCs w:val="24"/>
              </w:rPr>
              <w:t>Evaluation of the nail organ is an important diagnostic instrument. Aside from onychomycosis, which is a common nail disorder, important differential diagnoses</w:t>
            </w:r>
          </w:p>
        </w:tc>
        <w:tc>
          <w:tcPr>
            <w:tcW w:w="5431" w:type="dxa"/>
          </w:tcPr>
          <w:p w14:paraId="0F825BE8" w14:textId="65C10543" w:rsidR="00730610" w:rsidRPr="00D84D8C" w:rsidRDefault="00D81287" w:rsidP="00730610">
            <w:pPr>
              <w:pStyle w:val="ListParagraph"/>
              <w:numPr>
                <w:ilvl w:val="0"/>
                <w:numId w:val="8"/>
              </w:numPr>
              <w:rPr>
                <w:szCs w:val="24"/>
              </w:rPr>
            </w:pPr>
            <w:r w:rsidRPr="00D84D8C">
              <w:rPr>
                <w:szCs w:val="24"/>
              </w:rPr>
              <w:t xml:space="preserve">Nail disorders are a common reason for derma - </w:t>
            </w:r>
            <w:proofErr w:type="spellStart"/>
            <w:r w:rsidRPr="00D84D8C">
              <w:rPr>
                <w:szCs w:val="24"/>
              </w:rPr>
              <w:t>tologic</w:t>
            </w:r>
            <w:proofErr w:type="spellEnd"/>
            <w:r w:rsidRPr="00D84D8C">
              <w:rPr>
                <w:szCs w:val="24"/>
              </w:rPr>
              <w:t xml:space="preserve"> consultation. They are assessed by clinical inspection, </w:t>
            </w:r>
            <w:proofErr w:type="spellStart"/>
            <w:r w:rsidRPr="00D84D8C">
              <w:rPr>
                <w:szCs w:val="24"/>
              </w:rPr>
              <w:t>dermatoscopy</w:t>
            </w:r>
            <w:proofErr w:type="spellEnd"/>
            <w:r w:rsidRPr="00D84D8C">
              <w:rPr>
                <w:szCs w:val="24"/>
              </w:rPr>
              <w:t>, diagnostic imaging, microbiological (including mycological) testing, and histopathological examinatio</w:t>
            </w:r>
            <w:r w:rsidR="00D84D8C" w:rsidRPr="00D84D8C">
              <w:rPr>
                <w:szCs w:val="24"/>
              </w:rPr>
              <w:t>n</w:t>
            </w:r>
          </w:p>
        </w:tc>
      </w:tr>
    </w:tbl>
    <w:p w14:paraId="0414A1B9" w14:textId="77777777" w:rsidR="00573A35" w:rsidRDefault="00573A35"/>
    <w:p w14:paraId="268CFA18" w14:textId="77777777" w:rsidR="00F07737" w:rsidRDefault="00F07737"/>
    <w:p w14:paraId="4079252E" w14:textId="6EAF2D54" w:rsidR="00D63AAE" w:rsidRPr="003F10D1" w:rsidRDefault="00D63AAE" w:rsidP="003F10D1">
      <w:pPr>
        <w:spacing w:line="276" w:lineRule="auto"/>
      </w:pPr>
    </w:p>
    <w:sectPr w:rsidR="00D63AAE" w:rsidRPr="003F10D1" w:rsidSect="005B6322">
      <w:headerReference w:type="default" r:id="rId7"/>
      <w:pgSz w:w="15840" w:h="12240" w:orient="landscape"/>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5F450" w14:textId="77777777" w:rsidR="005B6322" w:rsidRDefault="005B6322" w:rsidP="00730610">
      <w:pPr>
        <w:spacing w:after="0"/>
      </w:pPr>
      <w:r>
        <w:separator/>
      </w:r>
    </w:p>
  </w:endnote>
  <w:endnote w:type="continuationSeparator" w:id="0">
    <w:p w14:paraId="61078FC2" w14:textId="77777777" w:rsidR="005B6322" w:rsidRDefault="005B6322" w:rsidP="00730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742C6" w14:textId="77777777" w:rsidR="005B6322" w:rsidRDefault="005B6322" w:rsidP="00730610">
      <w:pPr>
        <w:spacing w:after="0"/>
      </w:pPr>
      <w:r>
        <w:separator/>
      </w:r>
    </w:p>
  </w:footnote>
  <w:footnote w:type="continuationSeparator" w:id="0">
    <w:p w14:paraId="27C784A5" w14:textId="77777777" w:rsidR="005B6322" w:rsidRDefault="005B6322" w:rsidP="007306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A6DB" w14:textId="77777777" w:rsidR="00730610" w:rsidRDefault="00730610">
    <w:pPr>
      <w:pStyle w:val="Header"/>
    </w:pPr>
  </w:p>
  <w:p w14:paraId="78780428" w14:textId="77777777" w:rsidR="00730610" w:rsidRDefault="00730610">
    <w:pPr>
      <w:pStyle w:val="Header"/>
    </w:pPr>
  </w:p>
  <w:p w14:paraId="6C0D0BEC" w14:textId="77777777" w:rsidR="00730610" w:rsidRDefault="00730610">
    <w:pPr>
      <w:pStyle w:val="Header"/>
    </w:pPr>
  </w:p>
  <w:p w14:paraId="51610963" w14:textId="77777777" w:rsidR="00730610" w:rsidRDefault="00730610">
    <w:pPr>
      <w:pStyle w:val="Header"/>
    </w:pPr>
  </w:p>
  <w:p w14:paraId="4F377DF3" w14:textId="77777777" w:rsidR="00730610" w:rsidRDefault="007306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84"/>
    <w:multiLevelType w:val="hybridMultilevel"/>
    <w:tmpl w:val="8D94D58A"/>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0793"/>
    <w:multiLevelType w:val="hybridMultilevel"/>
    <w:tmpl w:val="59047692"/>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90F8D"/>
    <w:multiLevelType w:val="hybridMultilevel"/>
    <w:tmpl w:val="764263FE"/>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4DCA"/>
    <w:multiLevelType w:val="hybridMultilevel"/>
    <w:tmpl w:val="07324F82"/>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21219"/>
    <w:multiLevelType w:val="hybridMultilevel"/>
    <w:tmpl w:val="0D828366"/>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961C7"/>
    <w:multiLevelType w:val="hybridMultilevel"/>
    <w:tmpl w:val="287A23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BA18A6"/>
    <w:multiLevelType w:val="hybridMultilevel"/>
    <w:tmpl w:val="8CD2E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896D3C"/>
    <w:multiLevelType w:val="hybridMultilevel"/>
    <w:tmpl w:val="6B2A856E"/>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84B4A"/>
    <w:multiLevelType w:val="hybridMultilevel"/>
    <w:tmpl w:val="8964243C"/>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11059"/>
    <w:multiLevelType w:val="hybridMultilevel"/>
    <w:tmpl w:val="9F504056"/>
    <w:lvl w:ilvl="0" w:tplc="23746F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02607">
    <w:abstractNumId w:val="1"/>
  </w:num>
  <w:num w:numId="2" w16cid:durableId="1007097641">
    <w:abstractNumId w:val="2"/>
  </w:num>
  <w:num w:numId="3" w16cid:durableId="1708480425">
    <w:abstractNumId w:val="9"/>
  </w:num>
  <w:num w:numId="4" w16cid:durableId="1875729655">
    <w:abstractNumId w:val="3"/>
  </w:num>
  <w:num w:numId="5" w16cid:durableId="649100009">
    <w:abstractNumId w:val="7"/>
  </w:num>
  <w:num w:numId="6" w16cid:durableId="137573764">
    <w:abstractNumId w:val="4"/>
  </w:num>
  <w:num w:numId="7" w16cid:durableId="1058164532">
    <w:abstractNumId w:val="8"/>
  </w:num>
  <w:num w:numId="8" w16cid:durableId="813524389">
    <w:abstractNumId w:val="0"/>
  </w:num>
  <w:num w:numId="9" w16cid:durableId="701589208">
    <w:abstractNumId w:val="6"/>
  </w:num>
  <w:num w:numId="10" w16cid:durableId="1214081960">
    <w:abstractNumId w:val="5"/>
  </w:num>
  <w:num w:numId="11" w16cid:durableId="1513837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ABD"/>
    <w:rsid w:val="00004130"/>
    <w:rsid w:val="00047138"/>
    <w:rsid w:val="000C3256"/>
    <w:rsid w:val="0011408A"/>
    <w:rsid w:val="001D1A15"/>
    <w:rsid w:val="002169A4"/>
    <w:rsid w:val="0023492F"/>
    <w:rsid w:val="00286C82"/>
    <w:rsid w:val="002A0FDE"/>
    <w:rsid w:val="00323ABD"/>
    <w:rsid w:val="0039522A"/>
    <w:rsid w:val="003A2D7D"/>
    <w:rsid w:val="003F10D1"/>
    <w:rsid w:val="00405A3B"/>
    <w:rsid w:val="0042758D"/>
    <w:rsid w:val="00462C1D"/>
    <w:rsid w:val="004B04CC"/>
    <w:rsid w:val="004E24E0"/>
    <w:rsid w:val="00535B48"/>
    <w:rsid w:val="005616A7"/>
    <w:rsid w:val="00573A35"/>
    <w:rsid w:val="00574BDB"/>
    <w:rsid w:val="00592A64"/>
    <w:rsid w:val="005A4392"/>
    <w:rsid w:val="005B0F18"/>
    <w:rsid w:val="005B6322"/>
    <w:rsid w:val="005C6F12"/>
    <w:rsid w:val="005E151F"/>
    <w:rsid w:val="00605710"/>
    <w:rsid w:val="00641302"/>
    <w:rsid w:val="00673DA8"/>
    <w:rsid w:val="0068136C"/>
    <w:rsid w:val="006B5FF7"/>
    <w:rsid w:val="007056B1"/>
    <w:rsid w:val="00730610"/>
    <w:rsid w:val="007B71BD"/>
    <w:rsid w:val="007D122B"/>
    <w:rsid w:val="00800B27"/>
    <w:rsid w:val="00831BA1"/>
    <w:rsid w:val="00863E84"/>
    <w:rsid w:val="00873BE2"/>
    <w:rsid w:val="00875B89"/>
    <w:rsid w:val="008833CF"/>
    <w:rsid w:val="008D645A"/>
    <w:rsid w:val="008E7B27"/>
    <w:rsid w:val="00903510"/>
    <w:rsid w:val="00905E1E"/>
    <w:rsid w:val="0093021A"/>
    <w:rsid w:val="00935FA7"/>
    <w:rsid w:val="00963E42"/>
    <w:rsid w:val="00964E73"/>
    <w:rsid w:val="009A6E92"/>
    <w:rsid w:val="009E735E"/>
    <w:rsid w:val="00A3292F"/>
    <w:rsid w:val="00AF4677"/>
    <w:rsid w:val="00B145F7"/>
    <w:rsid w:val="00B32603"/>
    <w:rsid w:val="00B50B60"/>
    <w:rsid w:val="00BF3B64"/>
    <w:rsid w:val="00BF6B8C"/>
    <w:rsid w:val="00C10C45"/>
    <w:rsid w:val="00C52121"/>
    <w:rsid w:val="00CD6F4C"/>
    <w:rsid w:val="00CF658A"/>
    <w:rsid w:val="00D2156D"/>
    <w:rsid w:val="00D44A57"/>
    <w:rsid w:val="00D63AAE"/>
    <w:rsid w:val="00D81287"/>
    <w:rsid w:val="00D84D8C"/>
    <w:rsid w:val="00D87CE1"/>
    <w:rsid w:val="00E03DB4"/>
    <w:rsid w:val="00E05548"/>
    <w:rsid w:val="00E609CB"/>
    <w:rsid w:val="00F07737"/>
    <w:rsid w:val="00F26F0D"/>
    <w:rsid w:val="00F54EAF"/>
    <w:rsid w:val="00FA6A30"/>
    <w:rsid w:val="00FB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71AE"/>
  <w15:docId w15:val="{35BBB8CC-0AE6-415D-84FA-C35442C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82"/>
    <w:pPr>
      <w:spacing w:line="240" w:lineRule="auto"/>
    </w:pPr>
    <w:rPr>
      <w:rFonts w:ascii="Times New Roman" w:hAnsi="Times New Roman"/>
      <w:sz w:val="24"/>
    </w:rPr>
  </w:style>
  <w:style w:type="paragraph" w:styleId="Heading2">
    <w:name w:val="heading 2"/>
    <w:aliases w:val="sub_heading1"/>
    <w:basedOn w:val="Normal"/>
    <w:next w:val="Normal"/>
    <w:link w:val="Heading2Char"/>
    <w:uiPriority w:val="9"/>
    <w:semiHidden/>
    <w:unhideWhenUsed/>
    <w:qFormat/>
    <w:rsid w:val="00903510"/>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_heading1 Char"/>
    <w:basedOn w:val="DefaultParagraphFont"/>
    <w:link w:val="Heading2"/>
    <w:uiPriority w:val="9"/>
    <w:semiHidden/>
    <w:rsid w:val="00903510"/>
    <w:rPr>
      <w:rFonts w:ascii="Times New Roman" w:eastAsiaTheme="majorEastAsia" w:hAnsi="Times New Roman" w:cstheme="majorBidi"/>
      <w:b/>
      <w:bCs/>
      <w:sz w:val="24"/>
      <w:szCs w:val="26"/>
    </w:rPr>
  </w:style>
  <w:style w:type="table" w:styleId="TableGrid">
    <w:name w:val="Table Grid"/>
    <w:basedOn w:val="TableNormal"/>
    <w:uiPriority w:val="59"/>
    <w:rsid w:val="0028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6C82"/>
    <w:pPr>
      <w:ind w:left="720"/>
      <w:contextualSpacing/>
    </w:pPr>
  </w:style>
  <w:style w:type="paragraph" w:styleId="BalloonText">
    <w:name w:val="Balloon Text"/>
    <w:basedOn w:val="Normal"/>
    <w:link w:val="BalloonTextChar"/>
    <w:uiPriority w:val="99"/>
    <w:semiHidden/>
    <w:unhideWhenUsed/>
    <w:rsid w:val="00AF46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77"/>
    <w:rPr>
      <w:rFonts w:ascii="Tahoma" w:hAnsi="Tahoma" w:cs="Tahoma"/>
      <w:sz w:val="16"/>
      <w:szCs w:val="16"/>
    </w:rPr>
  </w:style>
  <w:style w:type="paragraph" w:styleId="Header">
    <w:name w:val="header"/>
    <w:basedOn w:val="Normal"/>
    <w:link w:val="HeaderChar"/>
    <w:uiPriority w:val="99"/>
    <w:unhideWhenUsed/>
    <w:rsid w:val="00730610"/>
    <w:pPr>
      <w:tabs>
        <w:tab w:val="center" w:pos="4513"/>
        <w:tab w:val="right" w:pos="9026"/>
      </w:tabs>
      <w:spacing w:after="0"/>
    </w:pPr>
  </w:style>
  <w:style w:type="character" w:customStyle="1" w:styleId="HeaderChar">
    <w:name w:val="Header Char"/>
    <w:basedOn w:val="DefaultParagraphFont"/>
    <w:link w:val="Header"/>
    <w:uiPriority w:val="99"/>
    <w:rsid w:val="00730610"/>
    <w:rPr>
      <w:rFonts w:ascii="Times New Roman" w:hAnsi="Times New Roman"/>
      <w:sz w:val="24"/>
    </w:rPr>
  </w:style>
  <w:style w:type="paragraph" w:styleId="Footer">
    <w:name w:val="footer"/>
    <w:basedOn w:val="Normal"/>
    <w:link w:val="FooterChar"/>
    <w:uiPriority w:val="99"/>
    <w:unhideWhenUsed/>
    <w:rsid w:val="00730610"/>
    <w:pPr>
      <w:tabs>
        <w:tab w:val="center" w:pos="4513"/>
        <w:tab w:val="right" w:pos="9026"/>
      </w:tabs>
      <w:spacing w:after="0"/>
    </w:pPr>
  </w:style>
  <w:style w:type="character" w:customStyle="1" w:styleId="FooterChar">
    <w:name w:val="Footer Char"/>
    <w:basedOn w:val="DefaultParagraphFont"/>
    <w:link w:val="Footer"/>
    <w:uiPriority w:val="99"/>
    <w:rsid w:val="00730610"/>
    <w:rPr>
      <w:rFonts w:ascii="Times New Roman" w:hAnsi="Times New Roman"/>
      <w:sz w:val="24"/>
    </w:rPr>
  </w:style>
  <w:style w:type="character" w:styleId="Strong">
    <w:name w:val="Strong"/>
    <w:basedOn w:val="DefaultParagraphFont"/>
    <w:uiPriority w:val="22"/>
    <w:qFormat/>
    <w:rsid w:val="00D81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2013">
      <w:bodyDiv w:val="1"/>
      <w:marLeft w:val="0"/>
      <w:marRight w:val="0"/>
      <w:marTop w:val="0"/>
      <w:marBottom w:val="0"/>
      <w:divBdr>
        <w:top w:val="none" w:sz="0" w:space="0" w:color="auto"/>
        <w:left w:val="none" w:sz="0" w:space="0" w:color="auto"/>
        <w:bottom w:val="none" w:sz="0" w:space="0" w:color="auto"/>
        <w:right w:val="none" w:sz="0" w:space="0" w:color="auto"/>
      </w:divBdr>
    </w:div>
    <w:div w:id="363335726">
      <w:bodyDiv w:val="1"/>
      <w:marLeft w:val="0"/>
      <w:marRight w:val="0"/>
      <w:marTop w:val="0"/>
      <w:marBottom w:val="0"/>
      <w:divBdr>
        <w:top w:val="none" w:sz="0" w:space="0" w:color="auto"/>
        <w:left w:val="none" w:sz="0" w:space="0" w:color="auto"/>
        <w:bottom w:val="none" w:sz="0" w:space="0" w:color="auto"/>
        <w:right w:val="none" w:sz="0" w:space="0" w:color="auto"/>
      </w:divBdr>
    </w:div>
    <w:div w:id="419254661">
      <w:bodyDiv w:val="1"/>
      <w:marLeft w:val="0"/>
      <w:marRight w:val="0"/>
      <w:marTop w:val="0"/>
      <w:marBottom w:val="0"/>
      <w:divBdr>
        <w:top w:val="none" w:sz="0" w:space="0" w:color="auto"/>
        <w:left w:val="none" w:sz="0" w:space="0" w:color="auto"/>
        <w:bottom w:val="none" w:sz="0" w:space="0" w:color="auto"/>
        <w:right w:val="none" w:sz="0" w:space="0" w:color="auto"/>
      </w:divBdr>
    </w:div>
    <w:div w:id="665865982">
      <w:bodyDiv w:val="1"/>
      <w:marLeft w:val="0"/>
      <w:marRight w:val="0"/>
      <w:marTop w:val="0"/>
      <w:marBottom w:val="0"/>
      <w:divBdr>
        <w:top w:val="none" w:sz="0" w:space="0" w:color="auto"/>
        <w:left w:val="none" w:sz="0" w:space="0" w:color="auto"/>
        <w:bottom w:val="none" w:sz="0" w:space="0" w:color="auto"/>
        <w:right w:val="none" w:sz="0" w:space="0" w:color="auto"/>
      </w:divBdr>
    </w:div>
    <w:div w:id="756488570">
      <w:bodyDiv w:val="1"/>
      <w:marLeft w:val="0"/>
      <w:marRight w:val="0"/>
      <w:marTop w:val="0"/>
      <w:marBottom w:val="0"/>
      <w:divBdr>
        <w:top w:val="none" w:sz="0" w:space="0" w:color="auto"/>
        <w:left w:val="none" w:sz="0" w:space="0" w:color="auto"/>
        <w:bottom w:val="none" w:sz="0" w:space="0" w:color="auto"/>
        <w:right w:val="none" w:sz="0" w:space="0" w:color="auto"/>
      </w:divBdr>
    </w:div>
    <w:div w:id="757600656">
      <w:bodyDiv w:val="1"/>
      <w:marLeft w:val="0"/>
      <w:marRight w:val="0"/>
      <w:marTop w:val="0"/>
      <w:marBottom w:val="0"/>
      <w:divBdr>
        <w:top w:val="none" w:sz="0" w:space="0" w:color="auto"/>
        <w:left w:val="none" w:sz="0" w:space="0" w:color="auto"/>
        <w:bottom w:val="none" w:sz="0" w:space="0" w:color="auto"/>
        <w:right w:val="none" w:sz="0" w:space="0" w:color="auto"/>
      </w:divBdr>
    </w:div>
    <w:div w:id="924459886">
      <w:bodyDiv w:val="1"/>
      <w:marLeft w:val="0"/>
      <w:marRight w:val="0"/>
      <w:marTop w:val="0"/>
      <w:marBottom w:val="0"/>
      <w:divBdr>
        <w:top w:val="none" w:sz="0" w:space="0" w:color="auto"/>
        <w:left w:val="none" w:sz="0" w:space="0" w:color="auto"/>
        <w:bottom w:val="none" w:sz="0" w:space="0" w:color="auto"/>
        <w:right w:val="none" w:sz="0" w:space="0" w:color="auto"/>
      </w:divBdr>
    </w:div>
    <w:div w:id="1037848872">
      <w:bodyDiv w:val="1"/>
      <w:marLeft w:val="0"/>
      <w:marRight w:val="0"/>
      <w:marTop w:val="0"/>
      <w:marBottom w:val="0"/>
      <w:divBdr>
        <w:top w:val="none" w:sz="0" w:space="0" w:color="auto"/>
        <w:left w:val="none" w:sz="0" w:space="0" w:color="auto"/>
        <w:bottom w:val="none" w:sz="0" w:space="0" w:color="auto"/>
        <w:right w:val="none" w:sz="0" w:space="0" w:color="auto"/>
      </w:divBdr>
    </w:div>
    <w:div w:id="1180042163">
      <w:bodyDiv w:val="1"/>
      <w:marLeft w:val="0"/>
      <w:marRight w:val="0"/>
      <w:marTop w:val="0"/>
      <w:marBottom w:val="0"/>
      <w:divBdr>
        <w:top w:val="none" w:sz="0" w:space="0" w:color="auto"/>
        <w:left w:val="none" w:sz="0" w:space="0" w:color="auto"/>
        <w:bottom w:val="none" w:sz="0" w:space="0" w:color="auto"/>
        <w:right w:val="none" w:sz="0" w:space="0" w:color="auto"/>
      </w:divBdr>
    </w:div>
    <w:div w:id="1255747593">
      <w:bodyDiv w:val="1"/>
      <w:marLeft w:val="0"/>
      <w:marRight w:val="0"/>
      <w:marTop w:val="0"/>
      <w:marBottom w:val="0"/>
      <w:divBdr>
        <w:top w:val="none" w:sz="0" w:space="0" w:color="auto"/>
        <w:left w:val="none" w:sz="0" w:space="0" w:color="auto"/>
        <w:bottom w:val="none" w:sz="0" w:space="0" w:color="auto"/>
        <w:right w:val="none" w:sz="0" w:space="0" w:color="auto"/>
      </w:divBdr>
    </w:div>
    <w:div w:id="1350183658">
      <w:bodyDiv w:val="1"/>
      <w:marLeft w:val="0"/>
      <w:marRight w:val="0"/>
      <w:marTop w:val="0"/>
      <w:marBottom w:val="0"/>
      <w:divBdr>
        <w:top w:val="none" w:sz="0" w:space="0" w:color="auto"/>
        <w:left w:val="none" w:sz="0" w:space="0" w:color="auto"/>
        <w:bottom w:val="none" w:sz="0" w:space="0" w:color="auto"/>
        <w:right w:val="none" w:sz="0" w:space="0" w:color="auto"/>
      </w:divBdr>
    </w:div>
    <w:div w:id="1374229788">
      <w:bodyDiv w:val="1"/>
      <w:marLeft w:val="0"/>
      <w:marRight w:val="0"/>
      <w:marTop w:val="0"/>
      <w:marBottom w:val="0"/>
      <w:divBdr>
        <w:top w:val="none" w:sz="0" w:space="0" w:color="auto"/>
        <w:left w:val="none" w:sz="0" w:space="0" w:color="auto"/>
        <w:bottom w:val="none" w:sz="0" w:space="0" w:color="auto"/>
        <w:right w:val="none" w:sz="0" w:space="0" w:color="auto"/>
      </w:divBdr>
    </w:div>
    <w:div w:id="1600599600">
      <w:bodyDiv w:val="1"/>
      <w:marLeft w:val="0"/>
      <w:marRight w:val="0"/>
      <w:marTop w:val="0"/>
      <w:marBottom w:val="0"/>
      <w:divBdr>
        <w:top w:val="none" w:sz="0" w:space="0" w:color="auto"/>
        <w:left w:val="none" w:sz="0" w:space="0" w:color="auto"/>
        <w:bottom w:val="none" w:sz="0" w:space="0" w:color="auto"/>
        <w:right w:val="none" w:sz="0" w:space="0" w:color="auto"/>
      </w:divBdr>
    </w:div>
    <w:div w:id="1698920584">
      <w:bodyDiv w:val="1"/>
      <w:marLeft w:val="0"/>
      <w:marRight w:val="0"/>
      <w:marTop w:val="0"/>
      <w:marBottom w:val="0"/>
      <w:divBdr>
        <w:top w:val="none" w:sz="0" w:space="0" w:color="auto"/>
        <w:left w:val="none" w:sz="0" w:space="0" w:color="auto"/>
        <w:bottom w:val="none" w:sz="0" w:space="0" w:color="auto"/>
        <w:right w:val="none" w:sz="0" w:space="0" w:color="auto"/>
      </w:divBdr>
    </w:div>
    <w:div w:id="1737313893">
      <w:bodyDiv w:val="1"/>
      <w:marLeft w:val="0"/>
      <w:marRight w:val="0"/>
      <w:marTop w:val="0"/>
      <w:marBottom w:val="0"/>
      <w:divBdr>
        <w:top w:val="none" w:sz="0" w:space="0" w:color="auto"/>
        <w:left w:val="none" w:sz="0" w:space="0" w:color="auto"/>
        <w:bottom w:val="none" w:sz="0" w:space="0" w:color="auto"/>
        <w:right w:val="none" w:sz="0" w:space="0" w:color="auto"/>
      </w:divBdr>
    </w:div>
    <w:div w:id="1867910090">
      <w:bodyDiv w:val="1"/>
      <w:marLeft w:val="0"/>
      <w:marRight w:val="0"/>
      <w:marTop w:val="0"/>
      <w:marBottom w:val="0"/>
      <w:divBdr>
        <w:top w:val="none" w:sz="0" w:space="0" w:color="auto"/>
        <w:left w:val="none" w:sz="0" w:space="0" w:color="auto"/>
        <w:bottom w:val="none" w:sz="0" w:space="0" w:color="auto"/>
        <w:right w:val="none" w:sz="0" w:space="0" w:color="auto"/>
      </w:divBdr>
    </w:div>
    <w:div w:id="1876774638">
      <w:bodyDiv w:val="1"/>
      <w:marLeft w:val="0"/>
      <w:marRight w:val="0"/>
      <w:marTop w:val="0"/>
      <w:marBottom w:val="0"/>
      <w:divBdr>
        <w:top w:val="none" w:sz="0" w:space="0" w:color="auto"/>
        <w:left w:val="none" w:sz="0" w:space="0" w:color="auto"/>
        <w:bottom w:val="none" w:sz="0" w:space="0" w:color="auto"/>
        <w:right w:val="none" w:sz="0" w:space="0" w:color="auto"/>
      </w:divBdr>
    </w:div>
    <w:div w:id="1937638948">
      <w:bodyDiv w:val="1"/>
      <w:marLeft w:val="0"/>
      <w:marRight w:val="0"/>
      <w:marTop w:val="0"/>
      <w:marBottom w:val="0"/>
      <w:divBdr>
        <w:top w:val="none" w:sz="0" w:space="0" w:color="auto"/>
        <w:left w:val="none" w:sz="0" w:space="0" w:color="auto"/>
        <w:bottom w:val="none" w:sz="0" w:space="0" w:color="auto"/>
        <w:right w:val="none" w:sz="0" w:space="0" w:color="auto"/>
      </w:divBdr>
    </w:div>
    <w:div w:id="20892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Ajay Kumar Ganta</cp:lastModifiedBy>
  <cp:revision>46</cp:revision>
  <dcterms:created xsi:type="dcterms:W3CDTF">2024-03-30T05:08:00Z</dcterms:created>
  <dcterms:modified xsi:type="dcterms:W3CDTF">2024-05-06T19:41:00Z</dcterms:modified>
</cp:coreProperties>
</file>