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1A"/>
          <w:sz w:val="44"/>
          <w:szCs w:val="44"/>
        </w:rPr>
        <w:t xml:space="preserve">ТЕХНІЧНЕ ЗАВДАННЯ</w:t>
      </w:r>
    </w:p>
    <w:p>
      <w:pPr>
        <w:spacing w:after="300"/>
        <w:jc w:val="center"/>
      </w:pPr>
      <w:r>
        <w:rPr>
          <w:b/>
          <w:bCs/>
          <w:color w:val="555555"/>
          <w:sz w:val="26"/>
          <w:szCs w:val="26"/>
        </w:rPr>
        <w:t xml:space="preserve">Full-stack веб-додаток для моніторингу котирувань акцій та ведення інвестиційного портфеля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777777"/>
                <w:sz w:val="18"/>
                <w:szCs w:val="18"/>
              </w:rPr>
              <w:t xml:space="preserve">Рівень кандидата</w:t>
            </w:r>
          </w:p>
          <w:p>
            <w:r>
              <w:rPr>
                <w:b/>
                <w:bCs/>
                <w:color w:val="1A1A1A"/>
                <w:sz w:val="22"/>
                <w:szCs w:val="22"/>
              </w:rPr>
              <w:t xml:space="preserve">Junior / Junior+</w:t>
            </w:r>
          </w:p>
        </w:tc>
        <w:tc>
          <w:tcPr>
            <w:tcW w:type="dxa" w:w="3117"/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777777"/>
                <w:sz w:val="18"/>
                <w:szCs w:val="18"/>
              </w:rPr>
              <w:t xml:space="preserve">Термін виконання</w:t>
            </w:r>
          </w:p>
          <w:p>
            <w:r>
              <w:rPr>
                <w:b/>
                <w:bCs/>
                <w:color w:val="1A1A1A"/>
                <w:sz w:val="22"/>
                <w:szCs w:val="22"/>
              </w:rPr>
              <w:t xml:space="preserve">7 календарних днів</w:t>
            </w:r>
          </w:p>
        </w:tc>
        <w:tc>
          <w:tcPr>
            <w:tcW w:type="dxa" w:w="3117"/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777777"/>
                <w:sz w:val="18"/>
                <w:szCs w:val="18"/>
              </w:rPr>
              <w:t xml:space="preserve">Тип проекту</w:t>
            </w:r>
          </w:p>
          <w:p>
            <w:r>
              <w:rPr>
                <w:b/>
                <w:bCs/>
                <w:color w:val="1A1A1A"/>
                <w:sz w:val="22"/>
                <w:szCs w:val="22"/>
              </w:rPr>
              <w:t xml:space="preserve">Тестове завдання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1. Мета завдання</w:t>
      </w:r>
    </w:p>
    <w:p>
      <w:pPr>
        <w:spacing w:after="120" w:line="300"/>
      </w:pPr>
      <w:r>
        <w:rPr>
          <w:sz w:val="22"/>
          <w:szCs w:val="22"/>
        </w:rPr>
        <w:t xml:space="preserve">Оцінити базові практичні навички фулстек-розробки: роботу зі сторонніми API, керування станом та роутингом на фронтенді, побудову бекенду з БД, реалізацію real-time сповіщень через WebSocket, а також вміння самостійно розставляти пріоритети там, де ТЗ свідомо залишає простір для рішень.</w:t>
      </w:r>
    </w:p>
    <w:p>
      <w:pPr>
        <w:pStyle w:val="Heading1"/>
        <w:pBdr>
          <w:bottom w:val="single" w:color="1A1A1A" w:sz="6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2. Опис продукту</w:t>
      </w:r>
    </w:p>
    <w:p>
      <w:pPr>
        <w:spacing w:after="120" w:line="300"/>
      </w:pPr>
      <w:r>
        <w:rPr>
          <w:sz w:val="22"/>
          <w:szCs w:val="22"/>
        </w:rPr>
        <w:t xml:space="preserve">Користувач реєструється у застосунку, формує свій портфель акцій (тікер, кількість, ціна придбання), бачить на дашборді поточні котирування та стан портфеля (загальна вартість, прибуток/збиток). Додаток періодично перевіряє ціни і надсилає push-подію через WebSocket, якщо ціна якоїсь акції з портфеля різко змінюється. Користувач може налаштувати тему, мову інтерфейсу та параметри дашборду.</w:t>
      </w:r>
    </w:p>
    <w:p>
      <w:pPr>
        <w:pStyle w:val="Heading1"/>
        <w:pBdr>
          <w:bottom w:val="single" w:color="1A1A1A" w:sz="6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3. Технологічний стек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Обов'язково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Frontend: React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Роутинг — TanStack Router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Робота з API — TanStack Query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Стилізація — TailwindCSS. Без готових UI-kit бібліотек (MUI, Ant Design, Chakra, Mantine тощо) — вся верстка своя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Backend: на вибір кандидата — ASP.NET Core (у пріоритеті), Express.js/NestJS або FastAPI/Django — будь-який із варіантів приймається однаково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База даних: будь-яка реляційна СУБД (PostgreSQL / MySQL / SQLite). SQL-запити — сирі або через query builder, головна вимога — параметризація запитів. Конкатенація рядків у SQL неприпустима за жодних обставин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Реалтайм: WebSockets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Аутентифікація: на вибір кандидата (JWT — бажано, але приймається будь-який робочий підхід)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Розгортання: Docker + docker-compose — весь стек піднімається однією командою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Джерело котирувань акцій</w:t>
      </w:r>
    </w:p>
    <w:p>
      <w:pPr>
        <w:spacing w:after="120" w:line="300"/>
      </w:pPr>
      <w:r>
        <w:rPr>
          <w:sz w:val="22"/>
          <w:szCs w:val="22"/>
        </w:rPr>
        <w:t xml:space="preserve">Кандидат самостійно обирає зовнішній API для отримання котирувань (наприклад, Alpha Vantage, Finnhub, Twelve Data — або будь-яке інше на власний розсуд). Ліміти запитів безкоштовного тарифу — не проблема, це тестове завдання, а не production-навантаження.</w:t>
      </w:r>
    </w:p>
    <w:p>
      <w:pPr>
        <w:pStyle w:val="Heading1"/>
        <w:pBdr>
          <w:bottom w:val="single" w:color="1A1A1A" w:sz="6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4. Функціональні вимоги</w:t>
      </w:r>
    </w:p>
    <w:p>
      <w:pPr>
        <w:spacing w:after="120" w:line="300"/>
      </w:pPr>
      <w:r>
        <w:rPr>
          <w:i/>
          <w:iCs/>
          <w:color w:val="555555"/>
          <w:sz w:val="22"/>
          <w:szCs w:val="22"/>
        </w:rPr>
        <w:t xml:space="preserve">Пріоритети нижче вказують, що саме і в якому порядку варто робити. P0 — обов'язковий мінімум, без якого завдання не зараховується. P1 — очікується від кандидата такого рівня і суттєво впливає на оцінку. P2 — бонус, показує ініціативу понад мінімум.</w:t>
      </w:r>
    </w:p>
    <w:p>
      <w:pPr>
        <w:spacing w:after="100" w:before="300"/>
      </w:pPr>
      <w:r>
        <w:rPr>
          <w:b/>
          <w:bCs/>
          <w:color w:val="2E7D32"/>
          <w:sz w:val="24"/>
          <w:szCs w:val="24"/>
        </w:rPr>
        <w:t xml:space="preserve">P0 — Must Have</w:t>
      </w:r>
      <w:r>
        <w:rPr>
          <w:i/>
          <w:iCs/>
          <w:color w:val="555555"/>
          <w:sz w:val="20"/>
          <w:szCs w:val="20"/>
        </w:rPr>
        <w:t xml:space="preserve">  ядро продукту, обов'язково до виконання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Аутентифікація користувача</w:t>
      </w:r>
      <w:r>
        <w:rPr>
          <w:sz w:val="22"/>
          <w:szCs w:val="22"/>
        </w:rPr>
        <w:t xml:space="preserve"> — реєстрація, логін, збереження сесії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Інтеграція з API котирувань</w:t>
      </w:r>
      <w:r>
        <w:rPr>
          <w:sz w:val="22"/>
          <w:szCs w:val="22"/>
        </w:rPr>
        <w:t xml:space="preserve"> — отримання цін акцій через TanStack Query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Роутинг через TanStack Router</w:t>
      </w:r>
      <w:r>
        <w:rPr>
          <w:sz w:val="22"/>
          <w:szCs w:val="22"/>
        </w:rPr>
        <w:t xml:space="preserve"> — мінімум: логін, дашборд, портфель, налаштування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CRUD портфеля</w:t>
      </w:r>
      <w:r>
        <w:rPr>
          <w:sz w:val="22"/>
          <w:szCs w:val="22"/>
        </w:rPr>
        <w:t xml:space="preserve"> — додавання / видалення акції, кількість, ціна придбання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Дашборд</w:t>
      </w:r>
      <w:r>
        <w:rPr>
          <w:sz w:val="22"/>
          <w:szCs w:val="22"/>
        </w:rPr>
        <w:t xml:space="preserve"> — список акцій із поточними котируваннями; загальна вартість портфеля, прибуток/збиток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Backend API + БД</w:t>
      </w:r>
      <w:r>
        <w:rPr>
          <w:sz w:val="22"/>
          <w:szCs w:val="22"/>
        </w:rPr>
        <w:t xml:space="preserve"> — параметризовані запити, без конкатенації рядків у SQL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 xml:space="preserve">Docker Compose</w:t>
      </w:r>
      <w:r>
        <w:rPr>
          <w:sz w:val="22"/>
          <w:szCs w:val="22"/>
        </w:rPr>
        <w:t xml:space="preserve"> — весь стек (frontend + backend + БД) піднімається командою docker compose up</w:t>
      </w:r>
    </w:p>
    <w:p>
      <w:pPr>
        <w:spacing w:after="100" w:before="300"/>
      </w:pPr>
      <w:r>
        <w:rPr>
          <w:b/>
          <w:bCs/>
          <w:color w:val="B8860B"/>
          <w:sz w:val="24"/>
          <w:szCs w:val="24"/>
        </w:rPr>
        <w:t xml:space="preserve">P1 — Should Have</w:t>
      </w:r>
      <w:r>
        <w:rPr>
          <w:i/>
          <w:iCs/>
          <w:color w:val="555555"/>
          <w:sz w:val="20"/>
          <w:szCs w:val="20"/>
        </w:rPr>
        <w:t xml:space="preserve">  очікується від кандидата такого рівня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 xml:space="preserve">Налаштування користувача</w:t>
      </w:r>
      <w:r>
        <w:rPr>
          <w:sz w:val="22"/>
          <w:szCs w:val="22"/>
        </w:rPr>
        <w:t xml:space="preserve"> — тема (light/dark), мова інтерфейсу (i18n, мінімум 2 мови на вибір), налаштування дашборду (перелік акцій, частота оновлення котирувань)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9. </w:t>
      </w:r>
      <w:r>
        <w:rPr>
          <w:b/>
          <w:bCs/>
          <w:sz w:val="22"/>
          <w:szCs w:val="22"/>
        </w:rPr>
        <w:t xml:space="preserve">WebSocket-сповіщення</w:t>
      </w:r>
      <w:r>
        <w:rPr>
          <w:sz w:val="22"/>
          <w:szCs w:val="22"/>
        </w:rPr>
        <w:t xml:space="preserve"> — подія при зміні ціни акції понад заданий поріг (% за проміжок часу, налаштовується користувачем); перевірка порогу — фоновою службою / cron-job на бекенді; додатково — можливість вручну симулювати подію (кнопка або тестовий ендпоінт)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10. </w:t>
      </w:r>
      <w:r>
        <w:rPr>
          <w:b/>
          <w:bCs/>
          <w:sz w:val="22"/>
          <w:szCs w:val="22"/>
        </w:rPr>
        <w:t xml:space="preserve">Обробка помилок</w:t>
      </w:r>
      <w:r>
        <w:rPr>
          <w:sz w:val="22"/>
          <w:szCs w:val="22"/>
        </w:rPr>
        <w:t xml:space="preserve"> — rate limit або недоступність зовнішнього API — на фронті й на беку, без падіння застосунку</w:t>
      </w:r>
    </w:p>
    <w:p>
      <w:pPr>
        <w:spacing w:after="100" w:before="300"/>
      </w:pPr>
      <w:r>
        <w:rPr>
          <w:b/>
          <w:bCs/>
          <w:color w:val="555555"/>
          <w:sz w:val="24"/>
          <w:szCs w:val="24"/>
        </w:rPr>
        <w:t xml:space="preserve">P2 — Nice to Have</w:t>
      </w:r>
      <w:r>
        <w:rPr>
          <w:i/>
          <w:iCs/>
          <w:color w:val="555555"/>
          <w:sz w:val="20"/>
          <w:szCs w:val="20"/>
        </w:rPr>
        <w:t xml:space="preserve">  бонус, не обов'язково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11. </w:t>
      </w:r>
      <w:r>
        <w:rPr>
          <w:b/>
          <w:bCs/>
          <w:sz w:val="22"/>
          <w:szCs w:val="22"/>
        </w:rPr>
        <w:t xml:space="preserve">BYOK</w:t>
      </w:r>
      <w:r>
        <w:rPr>
          <w:sz w:val="22"/>
          <w:szCs w:val="22"/>
        </w:rPr>
        <w:t xml:space="preserve"> — можливість користувача вказати власний API-ключ для джерела котирувань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12. </w:t>
      </w:r>
      <w:r>
        <w:rPr>
          <w:b/>
          <w:bCs/>
          <w:sz w:val="22"/>
          <w:szCs w:val="22"/>
        </w:rPr>
        <w:t xml:space="preserve">Тести</w:t>
      </w:r>
      <w:r>
        <w:rPr>
          <w:sz w:val="22"/>
          <w:szCs w:val="22"/>
        </w:rPr>
        <w:t xml:space="preserve"> — базові unit / integration тести на ключову логіку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13. </w:t>
      </w:r>
      <w:r>
        <w:rPr>
          <w:b/>
          <w:bCs/>
          <w:sz w:val="22"/>
          <w:szCs w:val="22"/>
        </w:rPr>
        <w:t xml:space="preserve">README</w:t>
      </w:r>
      <w:r>
        <w:rPr>
          <w:sz w:val="22"/>
          <w:szCs w:val="22"/>
        </w:rPr>
        <w:t xml:space="preserve"> — інструкція запуску + короткий опис архітектурних рішень</w:t>
      </w:r>
    </w:p>
    <w:p>
      <w:pPr>
        <w:spacing w:after="140" w:line="280"/>
        <w:ind w:left="200"/>
      </w:pPr>
      <w:r>
        <w:rPr>
          <w:b/>
          <w:bCs/>
          <w:sz w:val="22"/>
          <w:szCs w:val="22"/>
        </w:rPr>
        <w:t xml:space="preserve">14. </w:t>
      </w:r>
      <w:r>
        <w:rPr>
          <w:b/>
          <w:bCs/>
          <w:sz w:val="22"/>
          <w:szCs w:val="22"/>
        </w:rPr>
        <w:t xml:space="preserve">Адаптивний дизайн</w:t>
      </w:r>
      <w:r>
        <w:rPr>
          <w:sz w:val="22"/>
          <w:szCs w:val="22"/>
        </w:rPr>
        <w:t xml:space="preserve"> — коректне відображення на десктопі й мобільному</w:t>
      </w:r>
    </w:p>
    <w:p>
      <w:pPr>
        <w:pStyle w:val="Heading1"/>
        <w:pBdr>
          <w:bottom w:val="single" w:color="1A1A1A" w:sz="6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5. Обмеження та зауваження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Готові UI-kit бібліотеки забороняються (MUI, Ant Design, Chakra, Mantine тощо) — тільки TailwindCSS і власна верстка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Дизайн / UX залишається повністю на розсуд кандидата — естетика не оцінюється, оцінюється функціональність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Мова коду, коментарів, документації та інтерфейсу — на вибір кандидата (українська або англійська), головне — послідовність у межах усього проекту</w:t>
      </w:r>
    </w:p>
    <w:p>
      <w:pPr>
        <w:pStyle w:val="Heading1"/>
        <w:pBdr>
          <w:bottom w:val="single" w:color="1A1A1A" w:sz="6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6. Приклад WebSocket-події</w:t>
      </w:r>
    </w:p>
    <w:p>
      <w:pPr>
        <w:spacing w:after="120" w:line="300"/>
      </w:pPr>
      <w:r>
        <w:rPr>
          <w:sz w:val="22"/>
          <w:szCs w:val="22"/>
        </w:rPr>
        <w:t xml:space="preserve">Формулювання сповіщень — на розсуд кандидата, головне, щоб механізм працював коректно. Наприклад, при різкому падінні ціни понад заданий поріг користувач може отримати push-сповіщення на кшталт: «Чергове зростання тарифів — портфель у мінусі». Тон і стиль повідомлень — довільні, це не оцінюється.</w:t>
      </w:r>
    </w:p>
    <w:p>
      <w:pPr>
        <w:pStyle w:val="Heading1"/>
        <w:pBdr>
          <w:bottom w:val="single" w:color="1A1A1A" w:sz="6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7. Терміни та формат здачі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Термін виконання — 7 календарних днів з моменту отримання ТЗ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Формат здачі — посилання на git-репозиторій (публічний або з наданим доступом)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В репозиторії обов'язково: інструкція запуску через docker-compose (навіть коротка)</w:t>
      </w:r>
    </w:p>
    <w:p>
      <w:pPr>
        <w:pStyle w:val="Heading1"/>
        <w:pBdr>
          <w:bottom w:val="single" w:color="1A1A1A" w:sz="6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8. Критерії оцінки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Виконання пунктів P0 — базова умова зарахування завдання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Якість і структура коду, читабельність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Коректна обробка помилок і edge-кейсів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Самостійність і логічність рішень у місцях, де ТЗ свідомо залишає свободу вибору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Виконання пунктів P1 та P2 — додаткові бали понад базову оцінку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2026-07-13T14:08:39.814Z</dcterms:created>
  <dcterms:modified xsi:type="dcterms:W3CDTF">2026-07-13T14:08:39.829Z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