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宋体" w:hAnsi="宋体" w:eastAsia="宋体"/>
          <w:b/>
          <w:sz w:val="32"/>
        </w:rPr>
        <w:t>复刻传奇：海龟交易法则实战演练</w:t>
      </w:r>
    </w:p>
    <w:p>
      <w:pPr>
        <w:spacing w:line="360" w:lineRule="auto" w:before="0" w:after="0"/>
        <w:jc w:val="center"/>
      </w:pPr>
      <w:r>
        <w:rPr>
          <w:rFonts w:ascii="宋体" w:hAnsi="宋体" w:eastAsia="宋体"/>
          <w:b w:val="0"/>
          <w:sz w:val="21"/>
        </w:rPr>
        <w:t>北京大学 AI 量化工作坊 · TASK4　　姓名：张哲铭</w:t>
      </w:r>
    </w:p>
    <w:p/>
    <w:p>
      <w:pPr>
        <w:spacing w:line="360" w:lineRule="auto" w:before="0" w:after="0"/>
        <w:ind w:firstLine="420"/>
        <w:jc w:val="both"/>
      </w:pPr>
      <w:r>
        <w:rPr>
          <w:rFonts w:ascii="宋体" w:hAnsi="宋体" w:eastAsia="宋体"/>
          <w:b w:val="0"/>
          <w:sz w:val="21"/>
        </w:rPr>
        <w:t>本任务在前三次工作坊（搭建数据引擎、数据诊断与指标构造、双均线策略首秀）的基础上，深入学习并完整复刻华尔街传奇——海龟交易法则（Turtle Trading）。全文首先阐明海龟策略的核心思想与关键优势，解释其三大基石：高低点通道（唐奇安通道）、平均真实波幅 ATR 与基于 ATR 的止损/头寸管理；随后在实际回测前先完整设计策略全流程并绘制流程图；接着用 Python 手工实现该策略，并检索重要学术文献以明确其在何种标的上更有效；最后对黄金 ETF、纳指 ETF、腾讯控股、沪深 300 等 8 个标的、两套海龟系统（20/10 与 55/20）共 16 组参数进行实证回测，用总收益、年化、超额收益、夏普、最大回撤、卡玛、胜率、盈亏比等一整套指标全面评估，并做通道周期敏感性分析，总结海龟法则的适应场景与使用心得。</w:t>
      </w:r>
    </w:p>
    <w:p>
      <w:pPr>
        <w:spacing w:line="360" w:lineRule="auto" w:before="0" w:after="0"/>
        <w:jc w:val="left"/>
      </w:pPr>
      <w:r>
        <w:rPr>
          <w:rFonts w:ascii="宋体" w:hAnsi="宋体" w:eastAsia="宋体"/>
          <w:b/>
          <w:sz w:val="26"/>
        </w:rPr>
        <w:t>一、海龟交易法则：核心思想与关键优势</w:t>
      </w:r>
    </w:p>
    <w:p>
      <w:pPr>
        <w:spacing w:line="360" w:lineRule="auto" w:before="0" w:after="0"/>
        <w:ind w:firstLine="420"/>
        <w:jc w:val="both"/>
      </w:pPr>
      <w:r>
        <w:rPr>
          <w:rFonts w:ascii="宋体" w:hAnsi="宋体" w:eastAsia="宋体"/>
          <w:b w:val="0"/>
          <w:sz w:val="21"/>
        </w:rPr>
        <w:t>海龟交易法则源于 1983 年美国期货交易大师 Richard Dennis（丹尼斯）与合伙人 William Eckhardt（埃克哈特）的一场著名赌约：交易能力究竟是天赋还是可以后天培养？丹尼斯从上千名报名者中挑选了一批毫无经验的普通人（戏称“海龟”），用两周时间教会他们一套完全机械化的交易系统。此后五年，这批海龟合计盈利超过 1.75 亿美元、顶尖者年化收益约 80%，丹尼斯赢得赌约。海龟法则由此成为金融史上最著名、被最广泛研究与复现的系统化趋势跟踪策略。</w:t>
      </w:r>
    </w:p>
    <w:p>
      <w:pPr>
        <w:spacing w:line="360" w:lineRule="auto" w:before="0" w:after="0"/>
        <w:ind w:firstLine="420"/>
        <w:jc w:val="left"/>
      </w:pPr>
      <w:r>
        <w:rPr>
          <w:rFonts w:ascii="宋体" w:hAnsi="宋体" w:eastAsia="宋体"/>
          <w:b/>
          <w:sz w:val="22"/>
        </w:rPr>
        <w:t>· 核心思想：机械化的趋势跟踪</w:t>
      </w:r>
    </w:p>
    <w:p>
      <w:pPr>
        <w:spacing w:line="360" w:lineRule="auto" w:before="0" w:after="0"/>
        <w:ind w:firstLine="420"/>
        <w:jc w:val="both"/>
      </w:pPr>
      <w:r>
        <w:rPr>
          <w:rFonts w:ascii="宋体" w:hAnsi="宋体" w:eastAsia="宋体"/>
          <w:b w:val="0"/>
          <w:sz w:val="21"/>
        </w:rPr>
        <w:t>海龟法则的哲学是“价格会沿最小阻力方向运动”，即市场一旦形成趋势就往往延续。它不预测顶底，只在价格创出一段时间新高（新趋势确立）时顺势入场做多、在趋势逆转时离场，力求“截断亏损、让利润奔跑”。整套系统把入场、加仓、止损、离场、头寸规模全部量化为明确规则，要求 100% 机械执行、剔除情绪干扰——这正是它可以被“教会普通人”的根本原因。</w:t>
      </w:r>
    </w:p>
    <w:p>
      <w:pPr>
        <w:spacing w:line="360" w:lineRule="auto" w:before="0" w:after="0"/>
        <w:ind w:firstLine="420"/>
        <w:jc w:val="left"/>
      </w:pPr>
      <w:r>
        <w:rPr>
          <w:rFonts w:ascii="宋体" w:hAnsi="宋体" w:eastAsia="宋体"/>
          <w:b/>
          <w:sz w:val="22"/>
        </w:rPr>
        <w:t>· 关键优势</w:t>
      </w:r>
    </w:p>
    <w:p>
      <w:pPr>
        <w:spacing w:line="360" w:lineRule="auto" w:before="0" w:after="0"/>
        <w:ind w:firstLine="420"/>
        <w:jc w:val="both"/>
      </w:pPr>
      <w:r>
        <w:rPr>
          <w:rFonts w:ascii="宋体" w:hAnsi="宋体" w:eastAsia="宋体"/>
          <w:b w:val="0"/>
          <w:sz w:val="21"/>
        </w:rPr>
        <w:t>1. 完全机械化、可复制、可回测。 每一步都有明确的数值规则（20/55 日通道、20 日 ATR、2 ATR 止损、0.5 ATR 加仓），不依赖个人判断，杜绝“追涨杀跌”的情绪化交易，也使策略能被严格量化检验。</w:t>
      </w:r>
    </w:p>
    <w:p>
      <w:pPr>
        <w:spacing w:line="360" w:lineRule="auto" w:before="0" w:after="0"/>
        <w:ind w:firstLine="420"/>
        <w:jc w:val="both"/>
      </w:pPr>
      <w:r>
        <w:rPr>
          <w:rFonts w:ascii="宋体" w:hAnsi="宋体" w:eastAsia="宋体"/>
          <w:b w:val="0"/>
          <w:sz w:val="21"/>
        </w:rPr>
        <w:t>2. 以波动率（ATR）为核心的风险管理。 海龟用 ATR 动态度量每个标的的“脾气”，据此决定头寸大小与止损距离：波动大的品种买得少、止损宽，波动小的品种买得多、止损窄，使每一笔交易承担的账户风险大致相等，这是它区别于普通均线策略的最大亮点。</w:t>
      </w:r>
    </w:p>
    <w:p>
      <w:pPr>
        <w:spacing w:line="360" w:lineRule="auto" w:before="0" w:after="0"/>
        <w:ind w:firstLine="420"/>
        <w:jc w:val="both"/>
      </w:pPr>
      <w:r>
        <w:rPr>
          <w:rFonts w:ascii="宋体" w:hAnsi="宋体" w:eastAsia="宋体"/>
          <w:b w:val="0"/>
          <w:sz w:val="21"/>
        </w:rPr>
        <w:t>3. 金字塔式分批加仓，让利润奔跑。 趋势一旦被确认，价格每上涨 0.5 ATR 就加一个单位、最多 4 个单位，使盈利头寸在大趋势中不断放大，充分吃到主升浪。</w:t>
      </w:r>
    </w:p>
    <w:p>
      <w:pPr>
        <w:spacing w:line="360" w:lineRule="auto" w:before="0" w:after="0"/>
        <w:ind w:firstLine="420"/>
        <w:jc w:val="both"/>
      </w:pPr>
      <w:r>
        <w:rPr>
          <w:rFonts w:ascii="宋体" w:hAnsi="宋体" w:eastAsia="宋体"/>
          <w:b w:val="0"/>
          <w:sz w:val="21"/>
        </w:rPr>
        <w:t>4. 严格止损、控制回撤。 每单位设 2 ATR 硬止损，单一市场、相关市场组、总方向都设有持仓上限，从制度上防止单笔或单一方向的过度暴露，这使其在剧烈下跌中往往能显著跑赢“死扛”的买入持有。</w:t>
      </w:r>
    </w:p>
    <w:p>
      <w:pPr>
        <w:spacing w:line="360" w:lineRule="auto" w:before="0" w:after="0"/>
        <w:ind w:firstLine="420"/>
        <w:jc w:val="both"/>
      </w:pPr>
      <w:r>
        <w:rPr>
          <w:rFonts w:ascii="宋体" w:hAnsi="宋体" w:eastAsia="宋体"/>
          <w:b w:val="0"/>
          <w:sz w:val="21"/>
        </w:rPr>
        <w:t>5. 低胜率、高盈亏比的稳健盈利结构。 海龟靠少数几次抓住大趋势的巨大盈利，覆盖多次突破失败的小额止损，因此天生“胜率不高但盈亏比很高”，只要严格执行就能长期为正——这一特征在后文回测中反复得到验证。</w:t>
      </w:r>
    </w:p>
    <w:p>
      <w:pPr>
        <w:spacing w:line="360" w:lineRule="auto" w:before="0" w:after="0"/>
        <w:jc w:val="left"/>
      </w:pPr>
      <w:r>
        <w:rPr>
          <w:rFonts w:ascii="宋体" w:hAnsi="宋体" w:eastAsia="宋体"/>
          <w:b/>
          <w:sz w:val="26"/>
        </w:rPr>
        <w:t>二、核心概念解释：高低点通道、ATR 与止损条件</w:t>
      </w:r>
    </w:p>
    <w:p>
      <w:pPr>
        <w:spacing w:line="360" w:lineRule="auto" w:before="0" w:after="0"/>
        <w:ind w:firstLine="420"/>
        <w:jc w:val="left"/>
      </w:pPr>
      <w:r>
        <w:rPr>
          <w:rFonts w:ascii="宋体" w:hAnsi="宋体" w:eastAsia="宋体"/>
          <w:b/>
          <w:sz w:val="22"/>
        </w:rPr>
        <w:t>1. 高低点通道（唐奇安通道 Donchian Channel）</w:t>
      </w:r>
    </w:p>
    <w:p>
      <w:pPr>
        <w:spacing w:line="360" w:lineRule="auto" w:before="0" w:after="0"/>
        <w:ind w:firstLine="420"/>
        <w:jc w:val="both"/>
      </w:pPr>
      <w:r>
        <w:rPr>
          <w:rFonts w:ascii="宋体" w:hAnsi="宋体" w:eastAsia="宋体"/>
          <w:b w:val="0"/>
          <w:sz w:val="21"/>
        </w:rPr>
        <w:t>高低点通道由趋势跟踪之父 Richard Donchian 提出，是海龟法则的信号来源。它取过去 N 个交易日的最高价作为“上轨”、最低价作为“下轨”：</w:t>
      </w:r>
    </w:p>
    <w:p>
      <w:pPr>
        <w:spacing w:line="360" w:lineRule="auto" w:before="0" w:after="0"/>
        <w:jc w:val="center"/>
      </w:pPr>
      <w:r>
        <w:rPr>
          <w:rFonts w:ascii="Cambria Math" w:hAnsi="Cambria Math" w:eastAsia="宋体"/>
          <w:i/>
          <w:sz w:val="21"/>
        </w:rPr>
        <w:t>上轨 = max(最近 N 日最高价)，  下轨 = min(最近 N 日最低价)</w:t>
      </w:r>
    </w:p>
    <w:p>
      <w:pPr>
        <w:spacing w:line="360" w:lineRule="auto" w:before="0" w:after="0"/>
        <w:ind w:firstLine="420"/>
        <w:jc w:val="both"/>
      </w:pPr>
      <w:r>
        <w:rPr>
          <w:rFonts w:ascii="宋体" w:hAnsi="宋体" w:eastAsia="宋体"/>
          <w:b w:val="0"/>
          <w:sz w:val="21"/>
        </w:rPr>
        <w:t>当收盘价向上突破上轨，意味着价格创出 N 日新高、上涨阻力被打破，是做多入场信号；跌破一条更短周期（如 N/2 日）的下轨则视为多头趋势结束、离场。海龟用两套周期：系统一（入场 20 日、离场 10 日，捕捉中短趋势）与系统二（入场 55 日、离场 20 日，捕捉长期大趋势）。通道呈“阶梯状”——只有创出新极值时才移动，因此触发价格完全透明、可提前算出，天然适合机械执行。</w:t>
      </w:r>
    </w:p>
    <w:p>
      <w:pPr>
        <w:spacing w:line="360" w:lineRule="auto" w:before="0" w:after="0"/>
        <w:ind w:firstLine="420"/>
        <w:jc w:val="left"/>
      </w:pPr>
      <w:r>
        <w:rPr>
          <w:rFonts w:ascii="宋体" w:hAnsi="宋体" w:eastAsia="宋体"/>
          <w:b/>
          <w:sz w:val="22"/>
        </w:rPr>
        <w:t>2. 平均真实波幅（ATR, Average True Range）</w:t>
      </w:r>
    </w:p>
    <w:p>
      <w:pPr>
        <w:spacing w:line="360" w:lineRule="auto" w:before="0" w:after="0"/>
        <w:ind w:firstLine="420"/>
        <w:jc w:val="both"/>
      </w:pPr>
      <w:r>
        <w:rPr>
          <w:rFonts w:ascii="宋体" w:hAnsi="宋体" w:eastAsia="宋体"/>
          <w:b w:val="0"/>
          <w:sz w:val="21"/>
        </w:rPr>
        <w:t>ATR 度量价格的“平均单日波动幅度”，是海龟做风险管理的标尺。先计算每日真实波幅 TR（同时考虑跳空缺口）：</w:t>
      </w:r>
    </w:p>
    <w:p>
      <w:pPr>
        <w:spacing w:line="360" w:lineRule="auto" w:before="0" w:after="0"/>
        <w:jc w:val="center"/>
      </w:pPr>
      <w:r>
        <w:rPr>
          <w:rFonts w:ascii="Cambria Math" w:hAnsi="Cambria Math" w:eastAsia="宋体"/>
          <w:i/>
          <w:sz w:val="21"/>
        </w:rPr>
        <w:t>TR = max( 今日最高−今日最低,  |今日最高−昨收|,  |今日最低−昨收| )</w:t>
      </w:r>
    </w:p>
    <w:p>
      <w:pPr>
        <w:spacing w:line="360" w:lineRule="auto" w:before="0" w:after="0"/>
        <w:ind w:firstLine="420"/>
        <w:jc w:val="both"/>
      </w:pPr>
      <w:r>
        <w:rPr>
          <w:rFonts w:ascii="宋体" w:hAnsi="宋体" w:eastAsia="宋体"/>
          <w:b w:val="0"/>
          <w:sz w:val="21"/>
        </w:rPr>
        <w:t>再对 TR 取 N 日 Wilder 平滑移动平均，即得 ATR（本文 N=20，与海龟原版一致）：</w:t>
      </w:r>
    </w:p>
    <w:p>
      <w:pPr>
        <w:spacing w:line="360" w:lineRule="auto" w:before="0" w:after="0"/>
        <w:jc w:val="center"/>
      </w:pPr>
      <w:r>
        <w:rPr>
          <w:rFonts w:ascii="Cambria Math" w:hAnsi="Cambria Math" w:eastAsia="宋体"/>
          <w:i/>
          <w:sz w:val="21"/>
        </w:rPr>
        <w:t>ATR_t = [ ATR_(t−1) × (N−1) + TR_t ] / N</w:t>
      </w:r>
    </w:p>
    <w:p>
      <w:pPr>
        <w:spacing w:line="360" w:lineRule="auto" w:before="0" w:after="0"/>
        <w:ind w:firstLine="420"/>
        <w:jc w:val="both"/>
      </w:pPr>
      <w:r>
        <w:rPr>
          <w:rFonts w:ascii="宋体" w:hAnsi="宋体" w:eastAsia="宋体"/>
          <w:b w:val="0"/>
          <w:sz w:val="21"/>
        </w:rPr>
        <w:t>ATR 越大表示该标的越“躁动”。海龟据此计算单位头寸（Position Unit）——让“价格逆行 1 个 ATR 时账户恰好亏损设定的风险比例（如 1%）”：</w:t>
      </w:r>
    </w:p>
    <w:p>
      <w:pPr>
        <w:spacing w:line="360" w:lineRule="auto" w:before="0" w:after="0"/>
        <w:jc w:val="center"/>
      </w:pPr>
      <w:r>
        <w:rPr>
          <w:rFonts w:ascii="Cambria Math" w:hAnsi="Cambria Math" w:eastAsia="宋体"/>
          <w:i/>
          <w:sz w:val="21"/>
        </w:rPr>
        <w:t>单位头寸 = 风险资本 / ( N × ATR × 价值因子 )</w:t>
      </w:r>
    </w:p>
    <w:p>
      <w:pPr>
        <w:spacing w:line="360" w:lineRule="auto" w:before="0" w:after="0"/>
        <w:ind w:firstLine="420"/>
        <w:jc w:val="both"/>
      </w:pPr>
      <w:r>
        <w:rPr>
          <w:rFonts w:ascii="宋体" w:hAnsi="宋体" w:eastAsia="宋体"/>
          <w:b w:val="0"/>
          <w:sz w:val="21"/>
        </w:rPr>
        <w:t>其含义是：波动越大（ATR 越大）买得越少，波动越小买得越多，从而让不同标的、不同时期的每笔交易承担大致相等的风险，实现真正的“波动率平价”仓位管理。</w:t>
      </w:r>
    </w:p>
    <w:p>
      <w:pPr>
        <w:spacing w:line="360" w:lineRule="auto" w:before="0" w:after="0"/>
        <w:ind w:firstLine="420"/>
        <w:jc w:val="left"/>
      </w:pPr>
      <w:r>
        <w:rPr>
          <w:rFonts w:ascii="宋体" w:hAnsi="宋体" w:eastAsia="宋体"/>
          <w:b/>
          <w:sz w:val="22"/>
        </w:rPr>
        <w:t>3. 止损条件与加仓规则</w:t>
      </w:r>
    </w:p>
    <w:p>
      <w:pPr>
        <w:spacing w:line="360" w:lineRule="auto" w:before="0" w:after="0"/>
        <w:ind w:firstLine="420"/>
        <w:jc w:val="both"/>
      </w:pPr>
      <w:r>
        <w:rPr>
          <w:rFonts w:ascii="宋体" w:hAnsi="宋体" w:eastAsia="宋体"/>
          <w:b w:val="0"/>
          <w:sz w:val="21"/>
        </w:rPr>
        <w:t>海龟的风险控制围绕 ATR 展开，有三条硬规则：（1）止损——每个单位在入场价下方 2 ATR 处设硬止损，一旦触及立即无条件离场，把单笔最大亏损锁定在约 2%（2 ATR × 1% 风险单位）；（2）加仓——价格每上涨 0.5 ATR 加 1 个单位、最多 4 个单位，且每次加仓后止损线同步上移，锁定已有利润；（3）离场——价格跌破离场通道（系统一 10 日 / 系统二 20 日最低）即视为趋势结束，全部平仓。三者共同构成“亏损截断得快、盈利放得开”的非对称收益结构。</w:t>
      </w:r>
    </w:p>
    <w:p>
      <w:pPr>
        <w:spacing w:line="360" w:lineRule="auto" w:before="0" w:after="0"/>
        <w:jc w:val="left"/>
      </w:pPr>
      <w:r>
        <w:rPr>
          <w:rFonts w:ascii="宋体" w:hAnsi="宋体" w:eastAsia="宋体"/>
          <w:b/>
          <w:sz w:val="26"/>
        </w:rPr>
        <w:t>三、策略全流程设计（回测前的流程图）</w:t>
      </w:r>
    </w:p>
    <w:p>
      <w:pPr>
        <w:spacing w:line="360" w:lineRule="auto" w:before="0" w:after="0"/>
        <w:ind w:firstLine="420"/>
        <w:jc w:val="both"/>
      </w:pPr>
      <w:r>
        <w:rPr>
          <w:rFonts w:ascii="宋体" w:hAnsi="宋体" w:eastAsia="宋体"/>
          <w:b w:val="0"/>
          <w:sz w:val="21"/>
        </w:rPr>
        <w:t>在动手回测之前，先把上述规则串成一条完整的决策链路并绘制成流程图（图 1），确保编程实现严格对应策略逻辑、不遗漏任何环节。整个流程从“选择市场”开始，依次计算 ATR、单位头寸，随后进入“监控突破—入场—加仓/止损/止盈”的持仓循环。</w:t>
      </w:r>
    </w:p>
    <w:p>
      <w:pPr>
        <w:spacing w:line="360" w:lineRule="auto" w:before="0" w:after="0"/>
        <w:jc w:val="center"/>
      </w:pPr>
      <w:r>
        <w:drawing>
          <wp:inline xmlns:a="http://schemas.openxmlformats.org/drawingml/2006/main" xmlns:pic="http://schemas.openxmlformats.org/drawingml/2006/picture">
            <wp:extent cx="5852160" cy="3794411"/>
            <wp:docPr id="1" name="Picture 1"/>
            <wp:cNvGraphicFramePr>
              <a:graphicFrameLocks noChangeAspect="1"/>
            </wp:cNvGraphicFramePr>
            <a:graphic>
              <a:graphicData uri="http://schemas.openxmlformats.org/drawingml/2006/picture">
                <pic:pic>
                  <pic:nvPicPr>
                    <pic:cNvPr id="0" name="flowchart.png"/>
                    <pic:cNvPicPr/>
                  </pic:nvPicPr>
                  <pic:blipFill>
                    <a:blip r:embed="rId9"/>
                    <a:stretch>
                      <a:fillRect/>
                    </a:stretch>
                  </pic:blipFill>
                  <pic:spPr>
                    <a:xfrm>
                      <a:off x="0" y="0"/>
                      <a:ext cx="5852160" cy="3794411"/>
                    </a:xfrm>
                    <a:prstGeom prst="rect"/>
                  </pic:spPr>
                </pic:pic>
              </a:graphicData>
            </a:graphic>
          </wp:inline>
        </w:drawing>
      </w:r>
    </w:p>
    <w:p>
      <w:pPr>
        <w:spacing w:line="360" w:lineRule="auto" w:before="0" w:after="0"/>
        <w:jc w:val="center"/>
      </w:pPr>
      <w:r>
        <w:rPr>
          <w:rFonts w:ascii="宋体" w:hAnsi="宋体" w:eastAsia="宋体"/>
          <w:b/>
          <w:sz w:val="18"/>
        </w:rPr>
        <w:t>图 1　海龟交易策略完整流程图（做多方向）</w:t>
      </w:r>
    </w:p>
    <w:p>
      <w:pPr>
        <w:spacing w:line="360" w:lineRule="auto" w:before="0" w:after="0"/>
        <w:ind w:firstLine="420"/>
        <w:jc w:val="both"/>
      </w:pPr>
      <w:r>
        <w:rPr>
          <w:rFonts w:ascii="宋体" w:hAnsi="宋体" w:eastAsia="宋体"/>
          <w:b w:val="0"/>
          <w:sz w:val="21"/>
        </w:rPr>
        <w:t>如图 1，橙色主链路（①→⑤）完成开仓前的准备：从高流动性品种中选定标的、计算 20 日 ATR、据此算出单位头寸、监控价格是否突破 N 日通道上轨，突破确认后建立第 1 个单位（蓝色⑤）。此后进入决策循环：先判断价格是否较上次建/加仓价再涨 0.5 ATR，是则加仓（绿色⑥，最多 4 单位）并回到循环；否则依次检查是否跌破止损线（红色，止损离场）、是否跌破离场通道（绿色，止盈/趋势结束离场）；若都未触发则继续持有、循环监控。本文的 Python 实现即严格按此状态机编写。</w:t>
      </w:r>
    </w:p>
    <w:p>
      <w:pPr>
        <w:spacing w:line="360" w:lineRule="auto" w:before="0" w:after="0"/>
        <w:jc w:val="left"/>
      </w:pPr>
      <w:r>
        <w:rPr>
          <w:rFonts w:ascii="宋体" w:hAnsi="宋体" w:eastAsia="宋体"/>
          <w:b/>
          <w:sz w:val="26"/>
        </w:rPr>
        <w:t>四、Python 编程实现</w:t>
      </w:r>
    </w:p>
    <w:p>
      <w:pPr>
        <w:spacing w:line="360" w:lineRule="auto" w:before="0" w:after="0"/>
        <w:ind w:firstLine="420"/>
        <w:jc w:val="both"/>
      </w:pPr>
      <w:r>
        <w:rPr>
          <w:rFonts w:ascii="宋体" w:hAnsi="宋体" w:eastAsia="宋体"/>
          <w:b w:val="0"/>
          <w:sz w:val="21"/>
        </w:rPr>
        <w:t>本文回测引擎完全手工实现（turtle_strategy.py），核心分三部分：ATR 与高低点通道计算、逐日状态机（入场/加仓/止损/离场）、以及净值与指标计算。考虑到 A 股与 ETF 现货难以便捷做空，本文只实现做多方向，更贴近国内可实践场景。为杜绝“未来函数”，取通道极值时用 shift(1) 排除当日、且第 t 日收盘产生的仓位变化在第 t+1 日才生效；同时在仓位变动当日按变动金额扣除单边万分之五交易成本。核心代码如下：</w:t>
      </w:r>
    </w:p>
    <w:p>
      <w:pPr>
        <w:spacing w:line="240" w:lineRule="auto" w:before="0" w:after="0"/>
        <w:jc w:val="left"/>
      </w:pPr>
      <w:r>
        <w:rPr>
          <w:rFonts w:ascii="Consolas" w:hAnsi="Consolas" w:eastAsia="宋体"/>
          <w:color w:val="333333"/>
          <w:sz w:val="18"/>
        </w:rPr>
        <w:t># 1) ATR（Wilder 平滑）与高低点通道</w:t>
      </w:r>
    </w:p>
    <w:p>
      <w:pPr>
        <w:spacing w:line="240" w:lineRule="auto" w:before="0" w:after="0"/>
        <w:jc w:val="left"/>
      </w:pPr>
      <w:r>
        <w:rPr>
          <w:rFonts w:ascii="Consolas" w:hAnsi="Consolas" w:eastAsia="宋体"/>
          <w:color w:val="333333"/>
          <w:sz w:val="18"/>
        </w:rPr>
        <w:t>tr = pd.concat([high-low, (high-prev_close).abs(),</w:t>
      </w:r>
    </w:p>
    <w:p>
      <w:pPr>
        <w:spacing w:line="240" w:lineRule="auto" w:before="0" w:after="0"/>
        <w:jc w:val="left"/>
      </w:pPr>
      <w:r>
        <w:rPr>
          <w:rFonts w:ascii="Consolas" w:hAnsi="Consolas" w:eastAsia="宋体"/>
          <w:color w:val="333333"/>
          <w:sz w:val="18"/>
        </w:rPr>
        <w:t xml:space="preserve">                (low-prev_close).abs()], axis=1).max(axis=1)</w:t>
      </w:r>
    </w:p>
    <w:p>
      <w:pPr>
        <w:spacing w:line="240" w:lineRule="auto" w:before="0" w:after="0"/>
        <w:jc w:val="left"/>
      </w:pPr>
      <w:r>
        <w:rPr>
          <w:rFonts w:ascii="Consolas" w:hAnsi="Consolas" w:eastAsia="宋体"/>
          <w:color w:val="333333"/>
          <w:sz w:val="18"/>
        </w:rPr>
        <w:t>atr = wilder_smooth(tr, n=20)</w:t>
      </w:r>
    </w:p>
    <w:p>
      <w:pPr>
        <w:spacing w:line="240" w:lineRule="auto" w:before="0" w:after="0"/>
        <w:jc w:val="left"/>
      </w:pPr>
      <w:r>
        <w:rPr>
          <w:rFonts w:ascii="Consolas" w:hAnsi="Consolas" w:eastAsia="宋体"/>
          <w:color w:val="333333"/>
          <w:sz w:val="18"/>
        </w:rPr>
        <w:t>dc_upper = high.rolling(entry_n).max().shift(1)   # 入场上轨(N日最高)</w:t>
      </w:r>
    </w:p>
    <w:p>
      <w:pPr>
        <w:spacing w:line="240" w:lineRule="auto" w:before="0" w:after="0"/>
        <w:jc w:val="left"/>
      </w:pPr>
      <w:r>
        <w:rPr>
          <w:rFonts w:ascii="Consolas" w:hAnsi="Consolas" w:eastAsia="宋体"/>
          <w:color w:val="333333"/>
          <w:sz w:val="18"/>
        </w:rPr>
        <w:t>dc_exit  = low.rolling(exit_n).min().shift(1)     # 离场下轨(N/2日最低)</w:t>
      </w:r>
    </w:p>
    <w:p>
      <w:pPr>
        <w:spacing w:line="240" w:lineRule="auto" w:before="0" w:after="0"/>
        <w:jc w:val="left"/>
      </w:pPr>
      <w:r>
        <w:rPr>
          <w:rFonts w:ascii="Consolas" w:hAnsi="Consolas" w:eastAsia="宋体"/>
          <w:color w:val="333333"/>
          <w:sz w:val="18"/>
        </w:rPr>
        <w:t xml:space="preserve"> </w:t>
      </w:r>
    </w:p>
    <w:p>
      <w:pPr>
        <w:spacing w:line="240" w:lineRule="auto" w:before="0" w:after="0"/>
        <w:jc w:val="left"/>
      </w:pPr>
      <w:r>
        <w:rPr>
          <w:rFonts w:ascii="Consolas" w:hAnsi="Consolas" w:eastAsia="宋体"/>
          <w:color w:val="333333"/>
          <w:sz w:val="18"/>
        </w:rPr>
        <w:t># 2) 逐日状态机（只做多）</w:t>
      </w:r>
    </w:p>
    <w:p>
      <w:pPr>
        <w:spacing w:line="240" w:lineRule="auto" w:before="0" w:after="0"/>
        <w:jc w:val="left"/>
      </w:pPr>
      <w:r>
        <w:rPr>
          <w:rFonts w:ascii="Consolas" w:hAnsi="Consolas" w:eastAsia="宋体"/>
          <w:color w:val="333333"/>
          <w:sz w:val="18"/>
        </w:rPr>
        <w:t>if units == 0:                       # 空仓：监控突破</w:t>
      </w:r>
    </w:p>
    <w:p>
      <w:pPr>
        <w:spacing w:line="240" w:lineRule="auto" w:before="0" w:after="0"/>
        <w:jc w:val="left"/>
      </w:pPr>
      <w:r>
        <w:rPr>
          <w:rFonts w:ascii="Consolas" w:hAnsi="Consolas" w:eastAsia="宋体"/>
          <w:color w:val="333333"/>
          <w:sz w:val="18"/>
        </w:rPr>
        <w:t xml:space="preserve">    if price &gt; dc_upper[i]:          # 突破上轨 -&gt; 入场1单位</w:t>
      </w:r>
    </w:p>
    <w:p>
      <w:pPr>
        <w:spacing w:line="240" w:lineRule="auto" w:before="0" w:after="0"/>
        <w:jc w:val="left"/>
      </w:pPr>
      <w:r>
        <w:rPr>
          <w:rFonts w:ascii="Consolas" w:hAnsi="Consolas" w:eastAsia="宋体"/>
          <w:color w:val="333333"/>
          <w:sz w:val="18"/>
        </w:rPr>
        <w:t xml:space="preserve">        units=1; entry=price; stop=price-2*atr[i]</w:t>
      </w:r>
    </w:p>
    <w:p>
      <w:pPr>
        <w:spacing w:line="240" w:lineRule="auto" w:before="0" w:after="0"/>
        <w:jc w:val="left"/>
      </w:pPr>
      <w:r>
        <w:rPr>
          <w:rFonts w:ascii="Consolas" w:hAnsi="Consolas" w:eastAsia="宋体"/>
          <w:color w:val="333333"/>
          <w:sz w:val="18"/>
        </w:rPr>
        <w:t>else:                                # 持仓：按优先级判定</w:t>
      </w:r>
    </w:p>
    <w:p>
      <w:pPr>
        <w:spacing w:line="240" w:lineRule="auto" w:before="0" w:after="0"/>
        <w:jc w:val="left"/>
      </w:pPr>
      <w:r>
        <w:rPr>
          <w:rFonts w:ascii="Consolas" w:hAnsi="Consolas" w:eastAsia="宋体"/>
          <w:color w:val="333333"/>
          <w:sz w:val="18"/>
        </w:rPr>
        <w:t xml:space="preserve">    if price &lt; stop:                 # (a) 跌破止损线 -&gt; 止损离场</w:t>
      </w:r>
    </w:p>
    <w:p>
      <w:pPr>
        <w:spacing w:line="240" w:lineRule="auto" w:before="0" w:after="0"/>
        <w:jc w:val="left"/>
      </w:pPr>
      <w:r>
        <w:rPr>
          <w:rFonts w:ascii="Consolas" w:hAnsi="Consolas" w:eastAsia="宋体"/>
          <w:color w:val="333333"/>
          <w:sz w:val="18"/>
        </w:rPr>
        <w:t xml:space="preserve">        close_trade("stop"); units=0</w:t>
      </w:r>
    </w:p>
    <w:p>
      <w:pPr>
        <w:spacing w:line="240" w:lineRule="auto" w:before="0" w:after="0"/>
        <w:jc w:val="left"/>
      </w:pPr>
      <w:r>
        <w:rPr>
          <w:rFonts w:ascii="Consolas" w:hAnsi="Consolas" w:eastAsia="宋体"/>
          <w:color w:val="333333"/>
          <w:sz w:val="18"/>
        </w:rPr>
        <w:t xml:space="preserve">    elif price &lt; dc_exit[i]:         # (b) 跌破离场通道 -&gt; 止盈离场</w:t>
      </w:r>
    </w:p>
    <w:p>
      <w:pPr>
        <w:spacing w:line="240" w:lineRule="auto" w:before="0" w:after="0"/>
        <w:jc w:val="left"/>
      </w:pPr>
      <w:r>
        <w:rPr>
          <w:rFonts w:ascii="Consolas" w:hAnsi="Consolas" w:eastAsia="宋体"/>
          <w:color w:val="333333"/>
          <w:sz w:val="18"/>
        </w:rPr>
        <w:t xml:space="preserve">        close_trade("exit"); units=0</w:t>
      </w:r>
    </w:p>
    <w:p>
      <w:pPr>
        <w:spacing w:line="240" w:lineRule="auto" w:before="0" w:after="0"/>
        <w:jc w:val="left"/>
      </w:pPr>
      <w:r>
        <w:rPr>
          <w:rFonts w:ascii="Consolas" w:hAnsi="Consolas" w:eastAsia="宋体"/>
          <w:color w:val="333333"/>
          <w:sz w:val="18"/>
        </w:rPr>
        <w:t xml:space="preserve">    elif units&lt;4 and price&gt;=last_add+0.5*atr:   # (c) 涨0.5ATR -&gt; 加仓</w:t>
      </w:r>
    </w:p>
    <w:p>
      <w:pPr>
        <w:spacing w:line="240" w:lineRule="auto" w:before="0" w:after="0"/>
        <w:jc w:val="left"/>
      </w:pPr>
      <w:r>
        <w:rPr>
          <w:rFonts w:ascii="Consolas" w:hAnsi="Consolas" w:eastAsia="宋体"/>
          <w:color w:val="333333"/>
          <w:sz w:val="18"/>
        </w:rPr>
        <w:t xml:space="preserve">        units+=1; last_add=price; stop=price-2*atr</w:t>
      </w:r>
    </w:p>
    <w:p>
      <w:pPr>
        <w:spacing w:line="240" w:lineRule="auto" w:before="0" w:after="0"/>
        <w:jc w:val="left"/>
      </w:pPr>
      <w:r>
        <w:rPr>
          <w:rFonts w:ascii="Consolas" w:hAnsi="Consolas" w:eastAsia="宋体"/>
          <w:color w:val="333333"/>
          <w:sz w:val="18"/>
        </w:rPr>
        <w:t xml:space="preserve"> </w:t>
      </w:r>
    </w:p>
    <w:p>
      <w:pPr>
        <w:spacing w:line="240" w:lineRule="auto" w:before="0" w:after="0"/>
        <w:jc w:val="left"/>
      </w:pPr>
      <w:r>
        <w:rPr>
          <w:rFonts w:ascii="Consolas" w:hAnsi="Consolas" w:eastAsia="宋体"/>
          <w:color w:val="333333"/>
          <w:sz w:val="18"/>
        </w:rPr>
        <w:t># 3) 仓位次日生效(避免未来函数)、扣成本、算净值</w:t>
      </w:r>
    </w:p>
    <w:p>
      <w:pPr>
        <w:spacing w:line="240" w:lineRule="auto" w:before="0" w:after="0"/>
        <w:jc w:val="left"/>
      </w:pPr>
      <w:r>
        <w:rPr>
          <w:rFonts w:ascii="Consolas" w:hAnsi="Consolas" w:eastAsia="宋体"/>
          <w:color w:val="333333"/>
          <w:sz w:val="18"/>
        </w:rPr>
        <w:t>position  = (units/4).shift(1)</w:t>
      </w:r>
    </w:p>
    <w:p>
      <w:pPr>
        <w:spacing w:line="240" w:lineRule="auto" w:before="0" w:after="0"/>
        <w:jc w:val="left"/>
      </w:pPr>
      <w:r>
        <w:rPr>
          <w:rFonts w:ascii="Consolas" w:hAnsi="Consolas" w:eastAsia="宋体"/>
          <w:color w:val="333333"/>
          <w:sz w:val="18"/>
        </w:rPr>
        <w:t>strat_ret = position*close.pct_change() - position.diff().abs()*0.0005</w:t>
      </w:r>
    </w:p>
    <w:p>
      <w:pPr>
        <w:spacing w:line="240" w:lineRule="auto" w:before="0" w:after="0"/>
        <w:jc w:val="left"/>
      </w:pPr>
      <w:r>
        <w:rPr>
          <w:rFonts w:ascii="Consolas" w:hAnsi="Consolas" w:eastAsia="宋体"/>
          <w:color w:val="333333"/>
          <w:sz w:val="18"/>
        </w:rPr>
        <w:t>equity    = (1+strat_ret).cumprod()</w:t>
      </w:r>
    </w:p>
    <w:p>
      <w:pPr>
        <w:spacing w:line="360" w:lineRule="auto" w:before="0" w:after="0"/>
        <w:ind w:firstLine="420"/>
        <w:jc w:val="both"/>
      </w:pPr>
      <w:r>
        <w:rPr>
          <w:rFonts w:ascii="宋体" w:hAnsi="宋体" w:eastAsia="宋体"/>
          <w:b w:val="0"/>
          <w:sz w:val="21"/>
        </w:rPr>
        <w:t>数据方面，本文复用工作坊统一的行情数据（前复权日线，多数标的自 2018-04 至 2026-07，共约 2000 个交易日）。下面以趋势特征鲜明的腾讯控股为例，展示海龟策略的信号可视化（图 2），完整呈现价格、高低点通道、ATR 与四类交易信号。</w:t>
      </w:r>
    </w:p>
    <w:p>
      <w:pPr>
        <w:spacing w:line="360" w:lineRule="auto" w:before="0" w:after="0"/>
        <w:jc w:val="center"/>
      </w:pPr>
      <w:r>
        <w:drawing>
          <wp:inline xmlns:a="http://schemas.openxmlformats.org/drawingml/2006/main" xmlns:pic="http://schemas.openxmlformats.org/drawingml/2006/picture">
            <wp:extent cx="5577840" cy="3358324"/>
            <wp:docPr id="2" name="Picture 2"/>
            <wp:cNvGraphicFramePr>
              <a:graphicFrameLocks noChangeAspect="1"/>
            </wp:cNvGraphicFramePr>
            <a:graphic>
              <a:graphicData uri="http://schemas.openxmlformats.org/drawingml/2006/picture">
                <pic:pic>
                  <pic:nvPicPr>
                    <pic:cNvPr id="0" name="signal_hk00700.png"/>
                    <pic:cNvPicPr/>
                  </pic:nvPicPr>
                  <pic:blipFill>
                    <a:blip r:embed="rId10"/>
                    <a:stretch>
                      <a:fillRect/>
                    </a:stretch>
                  </pic:blipFill>
                  <pic:spPr>
                    <a:xfrm>
                      <a:off x="0" y="0"/>
                      <a:ext cx="5577840" cy="3358324"/>
                    </a:xfrm>
                    <a:prstGeom prst="rect"/>
                  </pic:spPr>
                </pic:pic>
              </a:graphicData>
            </a:graphic>
          </wp:inline>
        </w:drawing>
      </w:r>
    </w:p>
    <w:p>
      <w:pPr>
        <w:spacing w:line="360" w:lineRule="auto" w:before="0" w:after="0"/>
        <w:jc w:val="center"/>
      </w:pPr>
      <w:r>
        <w:rPr>
          <w:rFonts w:ascii="宋体" w:hAnsi="宋体" w:eastAsia="宋体"/>
          <w:b/>
          <w:sz w:val="18"/>
        </w:rPr>
        <w:t>图 2　腾讯控股（00700）海龟策略交易信号与 ATR（入场20日/离场10日）</w:t>
      </w:r>
    </w:p>
    <w:p>
      <w:pPr>
        <w:spacing w:line="360" w:lineRule="auto" w:before="0" w:after="0"/>
        <w:ind w:firstLine="420"/>
        <w:jc w:val="both"/>
      </w:pPr>
      <w:r>
        <w:rPr>
          <w:rFonts w:ascii="宋体" w:hAnsi="宋体" w:eastAsia="宋体"/>
          <w:b w:val="0"/>
          <w:sz w:val="21"/>
        </w:rPr>
        <w:t>如图 2，上图红色虚线为 20 日高点通道（入场上轨）、绿色虚线为 10 日低点通道（离场下轨），阴影为二者构成的通道区间；红色三角为突破上轨的入场点、橙色十字为每涨 0.5 ATR 的加仓点、紫色叉为触及 2 ATR 止损、绿色倒三角为跌破下轨的趋势离场。下图为 20 日 ATR，可见 2021 与 2022 年腾讯剧烈波动时 ATR 显著抬升，策略据此自动缩小头寸、放宽止损。整体可清晰看到海龟“突破进场、分批加仓、破位即走”的机械纪律。</w:t>
      </w:r>
    </w:p>
    <w:p>
      <w:pPr>
        <w:spacing w:line="360" w:lineRule="auto" w:before="0" w:after="0"/>
        <w:jc w:val="left"/>
      </w:pPr>
      <w:r>
        <w:rPr>
          <w:rFonts w:ascii="宋体" w:hAnsi="宋体" w:eastAsia="宋体"/>
          <w:b/>
          <w:sz w:val="26"/>
        </w:rPr>
        <w:t>五、文献综述：海龟/趋势跟踪策略在什么标的上更有效</w:t>
      </w:r>
    </w:p>
    <w:p>
      <w:pPr>
        <w:spacing w:line="360" w:lineRule="auto" w:before="0" w:after="0"/>
        <w:ind w:firstLine="420"/>
        <w:jc w:val="both"/>
      </w:pPr>
      <w:r>
        <w:rPr>
          <w:rFonts w:ascii="宋体" w:hAnsi="宋体" w:eastAsia="宋体"/>
          <w:b w:val="0"/>
          <w:sz w:val="21"/>
        </w:rPr>
        <w:t>海龟法则属于趋势跟踪（Trend Following）大家族。动手回测前，先回顾学术界对其有效性与适用标的的重要研究，为标的选择与结果解读提供依据。</w:t>
      </w:r>
    </w:p>
    <w:p>
      <w:pPr>
        <w:spacing w:line="360" w:lineRule="auto" w:before="0" w:after="0"/>
        <w:ind w:firstLine="420"/>
        <w:jc w:val="left"/>
      </w:pPr>
      <w:r>
        <w:rPr>
          <w:rFonts w:ascii="宋体" w:hAnsi="宋体" w:eastAsia="宋体"/>
          <w:b/>
          <w:sz w:val="22"/>
        </w:rPr>
        <w:t>1. 通道突破规则的实证根基：Brock, Lakonishok &amp; LeBaron (1992)</w:t>
      </w:r>
    </w:p>
    <w:p>
      <w:pPr>
        <w:spacing w:line="360" w:lineRule="auto" w:before="0" w:after="0"/>
        <w:ind w:firstLine="420"/>
        <w:jc w:val="both"/>
      </w:pPr>
      <w:r>
        <w:rPr>
          <w:rFonts w:ascii="宋体" w:hAnsi="宋体" w:eastAsia="宋体"/>
          <w:b w:val="0"/>
          <w:sz w:val="21"/>
        </w:rPr>
        <w:t>发表于顶级期刊《Journal of Finance》的 Brock、Lakonishok 与 LeBaron（1992，简称 BLL）是检验技术交易规则的开山之作。他们用道琼斯工业指数 1897—1986 长达 90 年的数据，对移动平均规则和“区间突破”规则（与海龟高低点通道同源）做了严格的自助法（Bootstrap）检验，发现买入信号后的平均收益显著高于卖出信号、且波动更小，无法被随机游走等模型解释，为“简单突破规则确实包含预测力”提供了首个量化证据。</w:t>
      </w:r>
    </w:p>
    <w:p>
      <w:pPr>
        <w:spacing w:line="360" w:lineRule="auto" w:before="0" w:after="0"/>
        <w:ind w:firstLine="420"/>
        <w:jc w:val="left"/>
      </w:pPr>
      <w:r>
        <w:rPr>
          <w:rFonts w:ascii="宋体" w:hAnsi="宋体" w:eastAsia="宋体"/>
          <w:b/>
          <w:sz w:val="22"/>
        </w:rPr>
        <w:t>2. 趋势跟踪的主场是大宗商品：Miffre &amp; Rallis (2007)</w:t>
      </w:r>
    </w:p>
    <w:p>
      <w:pPr>
        <w:spacing w:line="360" w:lineRule="auto" w:before="0" w:after="0"/>
        <w:ind w:firstLine="420"/>
        <w:jc w:val="both"/>
      </w:pPr>
      <w:r>
        <w:rPr>
          <w:rFonts w:ascii="宋体" w:hAnsi="宋体" w:eastAsia="宋体"/>
          <w:b w:val="0"/>
          <w:sz w:val="21"/>
        </w:rPr>
        <w:t>Miffre 与 Rallis（2007，《Journal of Banking &amp; Finance》）对 31 种商品期货 1979—2004 的动量/趋势策略研究发现：13 个趋势策略年均收益达 9.38%，而同期等权买入持有商品组合反而亏损；且该收益与股债相关性极低、不随样本期衰减。Moskowitz、Ooi 与 Pedersen（2012，《Journal of Financial Economics》）在 58 个跨资产品种上进一步证实了“时间序列动量”的普遍存在。二者共同指向：趋势跟踪在趋势鲜明、波动大、有持续供求/宏观驱动的标的（如黄金等贵金属、原油等商品）上最有效。</w:t>
      </w:r>
    </w:p>
    <w:p>
      <w:pPr>
        <w:spacing w:line="360" w:lineRule="auto" w:before="0" w:after="0"/>
        <w:ind w:firstLine="420"/>
        <w:jc w:val="left"/>
      </w:pPr>
      <w:r>
        <w:rPr>
          <w:rFonts w:ascii="宋体" w:hAnsi="宋体" w:eastAsia="宋体"/>
          <w:b/>
          <w:sz w:val="22"/>
        </w:rPr>
        <w:t>3. 海龟规则的直接复现：Swart (2016, 开普敦大学)</w:t>
      </w:r>
    </w:p>
    <w:p>
      <w:pPr>
        <w:spacing w:line="360" w:lineRule="auto" w:before="0" w:after="0"/>
        <w:ind w:firstLine="420"/>
        <w:jc w:val="both"/>
      </w:pPr>
      <w:r>
        <w:rPr>
          <w:rFonts w:ascii="宋体" w:hAnsi="宋体" w:eastAsia="宋体"/>
          <w:b w:val="0"/>
          <w:sz w:val="21"/>
        </w:rPr>
        <w:t>Swart（2016，University of Cape Town 金融硕士论文）直接以海龟法则为蓝本，在南非期货交易所（SAFEX）用唐奇安通道 + ATR 完整复现了系统一（20 日入场/10 日离场）、系统二（55 日入场/20 日离场）及二者的整合系统，并用 20 日 ATR 决定头寸规模、止损与加仓。该文回顾指出：既有文献主要在北美与亚洲市场的商品期货与股指期货上检验海龟法则，说明这两类高流动性、趋势性资产是海龟策略被验证最充分、也最有效的标的。</w:t>
      </w:r>
    </w:p>
    <w:p>
      <w:pPr>
        <w:spacing w:line="360" w:lineRule="auto" w:before="0" w:after="0"/>
        <w:ind w:firstLine="420"/>
        <w:jc w:val="left"/>
      </w:pPr>
      <w:r>
        <w:rPr>
          <w:rFonts w:ascii="宋体" w:hAnsi="宋体" w:eastAsia="宋体"/>
          <w:b/>
          <w:sz w:val="22"/>
        </w:rPr>
        <w:t>4. 有效性会衰减：自适应市场假说</w:t>
      </w:r>
    </w:p>
    <w:p>
      <w:pPr>
        <w:spacing w:line="360" w:lineRule="auto" w:before="0" w:after="0"/>
        <w:ind w:firstLine="420"/>
        <w:jc w:val="both"/>
      </w:pPr>
      <w:r>
        <w:rPr>
          <w:rFonts w:ascii="宋体" w:hAnsi="宋体" w:eastAsia="宋体"/>
          <w:b w:val="0"/>
          <w:sz w:val="21"/>
        </w:rPr>
        <w:t>另一方面，Bessembinder &amp; Chan（1998）等研究发现，BLL 记录的规则预测力在 1987 年后明显减弱。Lo（2004）由此提出“自适应市场假说”：任何技术规则一旦被广泛知晓、套利资金涌入，超额收益就会被抢跑而衰减。这提醒我们——在流动性极好、参与者极成熟的大盘宽基指数上，海龟择时越来越难跑赢买入持有。</w:t>
      </w:r>
    </w:p>
    <w:p>
      <w:pPr>
        <w:spacing w:line="360" w:lineRule="auto" w:before="0" w:after="0"/>
        <w:ind w:firstLine="420"/>
        <w:jc w:val="left"/>
      </w:pPr>
      <w:r>
        <w:rPr>
          <w:rFonts w:ascii="宋体" w:hAnsi="宋体" w:eastAsia="宋体"/>
          <w:b/>
          <w:sz w:val="22"/>
        </w:rPr>
        <w:t>5. 对本文标的选择的启示</w:t>
      </w:r>
    </w:p>
    <w:p>
      <w:pPr>
        <w:spacing w:line="360" w:lineRule="auto" w:before="0" w:after="0"/>
        <w:ind w:firstLine="420"/>
        <w:jc w:val="both"/>
      </w:pPr>
      <w:r>
        <w:rPr>
          <w:rFonts w:ascii="宋体" w:hAnsi="宋体" w:eastAsia="宋体"/>
          <w:b w:val="0"/>
          <w:sz w:val="21"/>
        </w:rPr>
        <w:t>综合文献，海龟法则更可能在“黄金等大宗商品、趋势鲜明的成长/个股”上跑出价值，而在“高效率、宽幅震荡的宽基指数”上因滞后与假信号跑输买入持有。恰好，本文纳入了文献直接指向的黄金 ETF（518880，商品属性）与纳指 ETF（159941，成长指数）作为验证标的，同时纳入沪深 300、中证 500 等宽基指数与长江电力、红利低波等低波动标的作为对照，下面用真实回测加以检验。</w:t>
      </w:r>
    </w:p>
    <w:p>
      <w:pPr>
        <w:spacing w:line="360" w:lineRule="auto" w:before="0" w:after="0"/>
        <w:jc w:val="left"/>
      </w:pPr>
      <w:r>
        <w:rPr>
          <w:rFonts w:ascii="宋体" w:hAnsi="宋体" w:eastAsia="宋体"/>
          <w:b/>
          <w:sz w:val="26"/>
        </w:rPr>
        <w:t>六、多标的、多参数实证回测</w:t>
      </w:r>
    </w:p>
    <w:p>
      <w:pPr>
        <w:spacing w:line="360" w:lineRule="auto" w:before="0" w:after="0"/>
        <w:ind w:firstLine="420"/>
        <w:jc w:val="both"/>
      </w:pPr>
      <w:r>
        <w:rPr>
          <w:rFonts w:ascii="宋体" w:hAnsi="宋体" w:eastAsia="宋体"/>
          <w:b w:val="0"/>
          <w:sz w:val="21"/>
        </w:rPr>
        <w:t>本文对 8 个标的分别运行系统一（System1，入场 20 日 / 离场 10 日）与系统二（System2，入场 55 日 / 离场 20 日）两套海龟参数，共 16 组结果。ATR 周期统一取 20，止损 2 ATR，加仓间隔 0.5 ATR、最多 4 单位。每组均与“买入持有”基准对比，重点看超额收益与风险控制。</w:t>
      </w:r>
    </w:p>
    <w:p>
      <w:pPr>
        <w:spacing w:line="360" w:lineRule="auto" w:before="0" w:after="0"/>
        <w:ind w:firstLine="420"/>
        <w:jc w:val="left"/>
      </w:pPr>
      <w:r>
        <w:rPr>
          <w:rFonts w:ascii="宋体" w:hAnsi="宋体" w:eastAsia="宋体"/>
          <w:b/>
          <w:sz w:val="22"/>
        </w:rPr>
        <w:t>1. 回测指标体系</w:t>
      </w:r>
    </w:p>
    <w:p>
      <w:pPr>
        <w:spacing w:line="360" w:lineRule="auto" w:before="0" w:after="0"/>
        <w:ind w:firstLine="420"/>
        <w:jc w:val="both"/>
      </w:pPr>
      <w:r>
        <w:rPr>
          <w:rFonts w:ascii="宋体" w:hAnsi="宋体" w:eastAsia="宋体"/>
          <w:b w:val="0"/>
          <w:sz w:val="21"/>
        </w:rPr>
        <w:t>为全面评估，本文设计并计算了以下一整套指标：总收益率、年化收益率、超额收益（策略年化 − 买入持有年化，用于剥离标的 β、只看策略 α）、夏普比率（每单位波动的超额收益，越高越好）、最大回撤 MDD（净值从高点回落的最大幅度，衡量下行风险）、卡玛比率（年化收益 / |最大回撤|，收益回撤性价比）、胜率（盈利交易占比）、盈亏比（平均盈利 / 平均亏损）与交易次数。核心公式如下：</w:t>
      </w:r>
    </w:p>
    <w:p>
      <w:pPr>
        <w:spacing w:line="360" w:lineRule="auto" w:before="0" w:after="0"/>
        <w:jc w:val="center"/>
      </w:pPr>
      <w:r>
        <w:rPr>
          <w:rFonts w:ascii="Cambria Math" w:hAnsi="Cambria Math" w:eastAsia="宋体"/>
          <w:i/>
          <w:sz w:val="21"/>
        </w:rPr>
        <w:t>年化 = (1+总收益)^(252/天数) − 1；  夏普 = 日超额收益均值/标准差 × √252</w:t>
      </w:r>
    </w:p>
    <w:p>
      <w:pPr>
        <w:spacing w:line="360" w:lineRule="auto" w:before="0" w:after="0"/>
        <w:jc w:val="center"/>
      </w:pPr>
      <w:r>
        <w:rPr>
          <w:rFonts w:ascii="Cambria Math" w:hAnsi="Cambria Math" w:eastAsia="宋体"/>
          <w:i/>
          <w:sz w:val="21"/>
        </w:rPr>
        <w:t>MDD = min( 净值_t / 历史最高净值 − 1 )；  卡玛 = 年化收益 / |MDD|</w:t>
      </w:r>
    </w:p>
    <w:p>
      <w:pPr>
        <w:spacing w:line="360" w:lineRule="auto" w:before="0" w:after="0"/>
        <w:ind w:firstLine="420"/>
        <w:jc w:val="left"/>
      </w:pPr>
      <w:r>
        <w:rPr>
          <w:rFonts w:ascii="宋体" w:hAnsi="宋体" w:eastAsia="宋体"/>
          <w:b/>
          <w:sz w:val="22"/>
        </w:rPr>
        <w:t>2. 文献验证标的：黄金 ETF 与纳指 ETF</w:t>
      </w:r>
    </w:p>
    <w:p>
      <w:pPr>
        <w:spacing w:line="360" w:lineRule="auto" w:before="0" w:after="0"/>
        <w:ind w:firstLine="420"/>
        <w:jc w:val="both"/>
      </w:pPr>
      <w:r>
        <w:rPr>
          <w:rFonts w:ascii="宋体" w:hAnsi="宋体" w:eastAsia="宋体"/>
          <w:b w:val="0"/>
          <w:sz w:val="21"/>
        </w:rPr>
        <w:t>先看文献直接指向的两个标的。表 1 给出黄金 ETF 与纳指 ETF 在两套系统下的完整指标。</w:t>
      </w:r>
    </w:p>
    <w:p>
      <w:pPr>
        <w:spacing w:line="360" w:lineRule="auto" w:before="0" w:after="0"/>
        <w:jc w:val="center"/>
      </w:pPr>
      <w:r>
        <w:rPr>
          <w:rFonts w:ascii="宋体" w:hAnsi="宋体" w:eastAsia="宋体"/>
          <w:b/>
          <w:sz w:val="18"/>
        </w:rPr>
        <w:t>表 1　黄金 ETF 与纳指 ETF 海龟策略回测结果</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Pr>
                <w:rFonts w:ascii="宋体" w:hAnsi="宋体" w:eastAsia="宋体"/>
                <w:b/>
                <w:sz w:val="17"/>
              </w:rPr>
              <w:t>标的</w:t>
            </w:r>
          </w:p>
        </w:tc>
        <w:tc>
          <w:tcPr>
            <w:tcW w:type="dxa" w:w="864"/>
          </w:tcPr>
          <w:p>
            <w:pPr>
              <w:jc w:val="center"/>
            </w:pPr>
            <w:r>
              <w:rPr>
                <w:rFonts w:ascii="宋体" w:hAnsi="宋体" w:eastAsia="宋体"/>
                <w:b/>
                <w:sz w:val="17"/>
              </w:rPr>
              <w:t>系统(入场/离场)</w:t>
            </w:r>
          </w:p>
        </w:tc>
        <w:tc>
          <w:tcPr>
            <w:tcW w:type="dxa" w:w="864"/>
          </w:tcPr>
          <w:p>
            <w:pPr>
              <w:jc w:val="center"/>
            </w:pPr>
            <w:r>
              <w:rPr>
                <w:rFonts w:ascii="宋体" w:hAnsi="宋体" w:eastAsia="宋体"/>
                <w:b/>
                <w:sz w:val="17"/>
              </w:rPr>
              <w:t>策略年化</w:t>
            </w:r>
          </w:p>
        </w:tc>
        <w:tc>
          <w:tcPr>
            <w:tcW w:type="dxa" w:w="864"/>
          </w:tcPr>
          <w:p>
            <w:pPr>
              <w:jc w:val="center"/>
            </w:pPr>
            <w:r>
              <w:rPr>
                <w:rFonts w:ascii="宋体" w:hAnsi="宋体" w:eastAsia="宋体"/>
                <w:b/>
                <w:sz w:val="17"/>
              </w:rPr>
              <w:t>基准年化</w:t>
            </w:r>
          </w:p>
        </w:tc>
        <w:tc>
          <w:tcPr>
            <w:tcW w:type="dxa" w:w="864"/>
          </w:tcPr>
          <w:p>
            <w:pPr>
              <w:jc w:val="center"/>
            </w:pPr>
            <w:r>
              <w:rPr>
                <w:rFonts w:ascii="宋体" w:hAnsi="宋体" w:eastAsia="宋体"/>
                <w:b/>
                <w:sz w:val="17"/>
              </w:rPr>
              <w:t>超额年化</w:t>
            </w:r>
          </w:p>
        </w:tc>
        <w:tc>
          <w:tcPr>
            <w:tcW w:type="dxa" w:w="864"/>
          </w:tcPr>
          <w:p>
            <w:pPr>
              <w:jc w:val="center"/>
            </w:pPr>
            <w:r>
              <w:rPr>
                <w:rFonts w:ascii="宋体" w:hAnsi="宋体" w:eastAsia="宋体"/>
                <w:b/>
                <w:sz w:val="17"/>
              </w:rPr>
              <w:t>夏普</w:t>
            </w:r>
          </w:p>
        </w:tc>
        <w:tc>
          <w:tcPr>
            <w:tcW w:type="dxa" w:w="864"/>
          </w:tcPr>
          <w:p>
            <w:pPr>
              <w:jc w:val="center"/>
            </w:pPr>
            <w:r>
              <w:rPr>
                <w:rFonts w:ascii="宋体" w:hAnsi="宋体" w:eastAsia="宋体"/>
                <w:b/>
                <w:sz w:val="17"/>
              </w:rPr>
              <w:t>策略回撤</w:t>
            </w:r>
          </w:p>
        </w:tc>
        <w:tc>
          <w:tcPr>
            <w:tcW w:type="dxa" w:w="864"/>
          </w:tcPr>
          <w:p>
            <w:pPr>
              <w:jc w:val="center"/>
            </w:pPr>
            <w:r>
              <w:rPr>
                <w:rFonts w:ascii="宋体" w:hAnsi="宋体" w:eastAsia="宋体"/>
                <w:b/>
                <w:sz w:val="17"/>
              </w:rPr>
              <w:t>基准回撤</w:t>
            </w:r>
          </w:p>
        </w:tc>
        <w:tc>
          <w:tcPr>
            <w:tcW w:type="dxa" w:w="864"/>
          </w:tcPr>
          <w:p>
            <w:pPr>
              <w:jc w:val="center"/>
            </w:pPr>
            <w:r>
              <w:rPr>
                <w:rFonts w:ascii="宋体" w:hAnsi="宋体" w:eastAsia="宋体"/>
                <w:b/>
                <w:sz w:val="17"/>
              </w:rPr>
              <w:t>胜率</w:t>
            </w:r>
          </w:p>
        </w:tc>
        <w:tc>
          <w:tcPr>
            <w:tcW w:type="dxa" w:w="864"/>
          </w:tcPr>
          <w:p>
            <w:pPr>
              <w:jc w:val="center"/>
            </w:pPr>
            <w:r>
              <w:rPr>
                <w:rFonts w:ascii="宋体" w:hAnsi="宋体" w:eastAsia="宋体"/>
                <w:b/>
                <w:sz w:val="17"/>
              </w:rPr>
              <w:t>盈亏比</w:t>
            </w:r>
          </w:p>
        </w:tc>
      </w:tr>
      <w:tr>
        <w:tc>
          <w:tcPr>
            <w:tcW w:type="dxa" w:w="864"/>
          </w:tcPr>
          <w:p>
            <w:pPr>
              <w:spacing w:before="0" w:after="0"/>
              <w:jc w:val="center"/>
            </w:pPr>
            <w:r>
              <w:rPr>
                <w:rFonts w:ascii="宋体" w:hAnsi="宋体" w:eastAsia="宋体"/>
                <w:b w:val="0"/>
                <w:sz w:val="17"/>
              </w:rPr>
              <w:t>黄金ETF</w:t>
            </w:r>
          </w:p>
        </w:tc>
        <w:tc>
          <w:tcPr>
            <w:tcW w:type="dxa" w:w="864"/>
          </w:tcPr>
          <w:p>
            <w:pPr>
              <w:spacing w:before="0" w:after="0"/>
              <w:jc w:val="center"/>
            </w:pPr>
            <w:r>
              <w:rPr>
                <w:rFonts w:ascii="宋体" w:hAnsi="宋体" w:eastAsia="宋体"/>
                <w:b w:val="0"/>
                <w:sz w:val="17"/>
              </w:rPr>
              <w:t>System1(20/10)</w:t>
            </w:r>
          </w:p>
        </w:tc>
        <w:tc>
          <w:tcPr>
            <w:tcW w:type="dxa" w:w="864"/>
          </w:tcPr>
          <w:p>
            <w:pPr>
              <w:spacing w:before="0" w:after="0"/>
              <w:jc w:val="center"/>
            </w:pPr>
            <w:r>
              <w:rPr>
                <w:rFonts w:ascii="宋体" w:hAnsi="宋体" w:eastAsia="宋体"/>
                <w:b w:val="0"/>
                <w:sz w:val="17"/>
              </w:rPr>
              <w:t>4.0%</w:t>
            </w:r>
          </w:p>
        </w:tc>
        <w:tc>
          <w:tcPr>
            <w:tcW w:type="dxa" w:w="864"/>
          </w:tcPr>
          <w:p>
            <w:pPr>
              <w:spacing w:before="0" w:after="0"/>
              <w:jc w:val="center"/>
            </w:pPr>
            <w:r>
              <w:rPr>
                <w:rFonts w:ascii="宋体" w:hAnsi="宋体" w:eastAsia="宋体"/>
                <w:b w:val="0"/>
                <w:sz w:val="17"/>
              </w:rPr>
              <w:t>15.6%</w:t>
            </w:r>
          </w:p>
        </w:tc>
        <w:tc>
          <w:tcPr>
            <w:tcW w:type="dxa" w:w="864"/>
          </w:tcPr>
          <w:p>
            <w:pPr>
              <w:spacing w:before="0" w:after="0"/>
              <w:jc w:val="center"/>
            </w:pPr>
            <w:r>
              <w:rPr>
                <w:rFonts w:ascii="宋体" w:hAnsi="宋体" w:eastAsia="宋体"/>
                <w:b w:val="0"/>
                <w:sz w:val="17"/>
              </w:rPr>
              <w:t>-11.6%</w:t>
            </w:r>
          </w:p>
        </w:tc>
        <w:tc>
          <w:tcPr>
            <w:tcW w:type="dxa" w:w="864"/>
          </w:tcPr>
          <w:p>
            <w:pPr>
              <w:spacing w:before="0" w:after="0"/>
              <w:jc w:val="center"/>
            </w:pPr>
            <w:r>
              <w:rPr>
                <w:rFonts w:ascii="宋体" w:hAnsi="宋体" w:eastAsia="宋体"/>
                <w:b w:val="0"/>
                <w:sz w:val="17"/>
              </w:rPr>
              <w:t>0.43</w:t>
            </w:r>
          </w:p>
        </w:tc>
        <w:tc>
          <w:tcPr>
            <w:tcW w:type="dxa" w:w="864"/>
          </w:tcPr>
          <w:p>
            <w:pPr>
              <w:spacing w:before="0" w:after="0"/>
              <w:jc w:val="center"/>
            </w:pPr>
            <w:r>
              <w:rPr>
                <w:rFonts w:ascii="宋体" w:hAnsi="宋体" w:eastAsia="宋体"/>
                <w:b w:val="0"/>
                <w:sz w:val="17"/>
              </w:rPr>
              <w:t>-16.8%</w:t>
            </w:r>
          </w:p>
        </w:tc>
        <w:tc>
          <w:tcPr>
            <w:tcW w:type="dxa" w:w="864"/>
          </w:tcPr>
          <w:p>
            <w:pPr>
              <w:spacing w:before="0" w:after="0"/>
              <w:jc w:val="center"/>
            </w:pPr>
            <w:r>
              <w:rPr>
                <w:rFonts w:ascii="宋体" w:hAnsi="宋体" w:eastAsia="宋体"/>
                <w:b w:val="0"/>
                <w:sz w:val="17"/>
              </w:rPr>
              <w:t>-30.5%</w:t>
            </w:r>
          </w:p>
        </w:tc>
        <w:tc>
          <w:tcPr>
            <w:tcW w:type="dxa" w:w="864"/>
          </w:tcPr>
          <w:p>
            <w:pPr>
              <w:spacing w:before="0" w:after="0"/>
              <w:jc w:val="center"/>
            </w:pPr>
            <w:r>
              <w:rPr>
                <w:rFonts w:ascii="宋体" w:hAnsi="宋体" w:eastAsia="宋体"/>
                <w:b w:val="0"/>
                <w:sz w:val="17"/>
              </w:rPr>
              <w:t>55%</w:t>
            </w:r>
          </w:p>
        </w:tc>
        <w:tc>
          <w:tcPr>
            <w:tcW w:type="dxa" w:w="864"/>
          </w:tcPr>
          <w:p>
            <w:pPr>
              <w:spacing w:before="0" w:after="0"/>
              <w:jc w:val="center"/>
            </w:pPr>
            <w:r>
              <w:rPr>
                <w:rFonts w:ascii="宋体" w:hAnsi="宋体" w:eastAsia="宋体"/>
                <w:b w:val="0"/>
                <w:sz w:val="17"/>
              </w:rPr>
              <w:t>1.99</w:t>
            </w:r>
          </w:p>
        </w:tc>
      </w:tr>
      <w:tr>
        <w:tc>
          <w:tcPr>
            <w:tcW w:type="dxa" w:w="864"/>
          </w:tcPr>
          <w:p>
            <w:pPr>
              <w:spacing w:before="0" w:after="0"/>
              <w:jc w:val="center"/>
            </w:pPr>
            <w:r>
              <w:rPr>
                <w:rFonts w:ascii="宋体" w:hAnsi="宋体" w:eastAsia="宋体"/>
                <w:b w:val="0"/>
                <w:sz w:val="17"/>
              </w:rPr>
              <w:t>黄金ETF</w:t>
            </w:r>
          </w:p>
        </w:tc>
        <w:tc>
          <w:tcPr>
            <w:tcW w:type="dxa" w:w="864"/>
          </w:tcPr>
          <w:p>
            <w:pPr>
              <w:spacing w:before="0" w:after="0"/>
              <w:jc w:val="center"/>
            </w:pPr>
            <w:r>
              <w:rPr>
                <w:rFonts w:ascii="宋体" w:hAnsi="宋体" w:eastAsia="宋体"/>
                <w:b w:val="0"/>
                <w:sz w:val="17"/>
              </w:rPr>
              <w:t>System2(55/20)</w:t>
            </w:r>
          </w:p>
        </w:tc>
        <w:tc>
          <w:tcPr>
            <w:tcW w:type="dxa" w:w="864"/>
          </w:tcPr>
          <w:p>
            <w:pPr>
              <w:spacing w:before="0" w:after="0"/>
              <w:jc w:val="center"/>
            </w:pPr>
            <w:r>
              <w:rPr>
                <w:rFonts w:ascii="宋体" w:hAnsi="宋体" w:eastAsia="宋体"/>
                <w:b w:val="0"/>
                <w:sz w:val="17"/>
              </w:rPr>
              <w:t>5.3%</w:t>
            </w:r>
          </w:p>
        </w:tc>
        <w:tc>
          <w:tcPr>
            <w:tcW w:type="dxa" w:w="864"/>
          </w:tcPr>
          <w:p>
            <w:pPr>
              <w:spacing w:before="0" w:after="0"/>
              <w:jc w:val="center"/>
            </w:pPr>
            <w:r>
              <w:rPr>
                <w:rFonts w:ascii="宋体" w:hAnsi="宋体" w:eastAsia="宋体"/>
                <w:b w:val="0"/>
                <w:sz w:val="17"/>
              </w:rPr>
              <w:t>15.6%</w:t>
            </w:r>
          </w:p>
        </w:tc>
        <w:tc>
          <w:tcPr>
            <w:tcW w:type="dxa" w:w="864"/>
          </w:tcPr>
          <w:p>
            <w:pPr>
              <w:spacing w:before="0" w:after="0"/>
              <w:jc w:val="center"/>
            </w:pPr>
            <w:r>
              <w:rPr>
                <w:rFonts w:ascii="宋体" w:hAnsi="宋体" w:eastAsia="宋体"/>
                <w:b w:val="0"/>
                <w:sz w:val="17"/>
              </w:rPr>
              <w:t>-10.3%</w:t>
            </w:r>
          </w:p>
        </w:tc>
        <w:tc>
          <w:tcPr>
            <w:tcW w:type="dxa" w:w="864"/>
          </w:tcPr>
          <w:p>
            <w:pPr>
              <w:spacing w:before="0" w:after="0"/>
              <w:jc w:val="center"/>
            </w:pPr>
            <w:r>
              <w:rPr>
                <w:rFonts w:ascii="宋体" w:hAnsi="宋体" w:eastAsia="宋体"/>
                <w:b w:val="0"/>
                <w:sz w:val="17"/>
              </w:rPr>
              <w:t>0.51</w:t>
            </w:r>
          </w:p>
        </w:tc>
        <w:tc>
          <w:tcPr>
            <w:tcW w:type="dxa" w:w="864"/>
          </w:tcPr>
          <w:p>
            <w:pPr>
              <w:spacing w:before="0" w:after="0"/>
              <w:jc w:val="center"/>
            </w:pPr>
            <w:r>
              <w:rPr>
                <w:rFonts w:ascii="宋体" w:hAnsi="宋体" w:eastAsia="宋体"/>
                <w:b w:val="0"/>
                <w:sz w:val="17"/>
              </w:rPr>
              <w:t>-16.7%</w:t>
            </w:r>
          </w:p>
        </w:tc>
        <w:tc>
          <w:tcPr>
            <w:tcW w:type="dxa" w:w="864"/>
          </w:tcPr>
          <w:p>
            <w:pPr>
              <w:spacing w:before="0" w:after="0"/>
              <w:jc w:val="center"/>
            </w:pPr>
            <w:r>
              <w:rPr>
                <w:rFonts w:ascii="宋体" w:hAnsi="宋体" w:eastAsia="宋体"/>
                <w:b w:val="0"/>
                <w:sz w:val="17"/>
              </w:rPr>
              <w:t>-30.5%</w:t>
            </w:r>
          </w:p>
        </w:tc>
        <w:tc>
          <w:tcPr>
            <w:tcW w:type="dxa" w:w="864"/>
          </w:tcPr>
          <w:p>
            <w:pPr>
              <w:spacing w:before="0" w:after="0"/>
              <w:jc w:val="center"/>
            </w:pPr>
            <w:r>
              <w:rPr>
                <w:rFonts w:ascii="宋体" w:hAnsi="宋体" w:eastAsia="宋体"/>
                <w:b w:val="0"/>
                <w:sz w:val="17"/>
              </w:rPr>
              <w:t>63%</w:t>
            </w:r>
          </w:p>
        </w:tc>
        <w:tc>
          <w:tcPr>
            <w:tcW w:type="dxa" w:w="864"/>
          </w:tcPr>
          <w:p>
            <w:pPr>
              <w:spacing w:before="0" w:after="0"/>
              <w:jc w:val="center"/>
            </w:pPr>
            <w:r>
              <w:rPr>
                <w:rFonts w:ascii="宋体" w:hAnsi="宋体" w:eastAsia="宋体"/>
                <w:b w:val="0"/>
                <w:sz w:val="17"/>
              </w:rPr>
              <w:t>3.73</w:t>
            </w:r>
          </w:p>
        </w:tc>
      </w:tr>
      <w:tr>
        <w:tc>
          <w:tcPr>
            <w:tcW w:type="dxa" w:w="864"/>
          </w:tcPr>
          <w:p>
            <w:pPr>
              <w:spacing w:before="0" w:after="0"/>
              <w:jc w:val="center"/>
            </w:pPr>
            <w:r>
              <w:rPr>
                <w:rFonts w:ascii="宋体" w:hAnsi="宋体" w:eastAsia="宋体"/>
                <w:b w:val="0"/>
                <w:sz w:val="17"/>
              </w:rPr>
              <w:t>纳指ETF</w:t>
            </w:r>
          </w:p>
        </w:tc>
        <w:tc>
          <w:tcPr>
            <w:tcW w:type="dxa" w:w="864"/>
          </w:tcPr>
          <w:p>
            <w:pPr>
              <w:spacing w:before="0" w:after="0"/>
              <w:jc w:val="center"/>
            </w:pPr>
            <w:r>
              <w:rPr>
                <w:rFonts w:ascii="宋体" w:hAnsi="宋体" w:eastAsia="宋体"/>
                <w:b w:val="0"/>
                <w:sz w:val="17"/>
              </w:rPr>
              <w:t>System1(20/10)</w:t>
            </w:r>
          </w:p>
        </w:tc>
        <w:tc>
          <w:tcPr>
            <w:tcW w:type="dxa" w:w="864"/>
          </w:tcPr>
          <w:p>
            <w:pPr>
              <w:spacing w:before="0" w:after="0"/>
              <w:jc w:val="center"/>
            </w:pPr>
            <w:r>
              <w:rPr>
                <w:rFonts w:ascii="宋体" w:hAnsi="宋体" w:eastAsia="宋体"/>
                <w:b w:val="0"/>
                <w:sz w:val="17"/>
              </w:rPr>
              <w:t>2.8%</w:t>
            </w:r>
          </w:p>
        </w:tc>
        <w:tc>
          <w:tcPr>
            <w:tcW w:type="dxa" w:w="864"/>
          </w:tcPr>
          <w:p>
            <w:pPr>
              <w:spacing w:before="0" w:after="0"/>
              <w:jc w:val="center"/>
            </w:pPr>
            <w:r>
              <w:rPr>
                <w:rFonts w:ascii="宋体" w:hAnsi="宋体" w:eastAsia="宋体"/>
                <w:b w:val="0"/>
                <w:sz w:val="17"/>
              </w:rPr>
              <w:t>21.7%</w:t>
            </w:r>
          </w:p>
        </w:tc>
        <w:tc>
          <w:tcPr>
            <w:tcW w:type="dxa" w:w="864"/>
          </w:tcPr>
          <w:p>
            <w:pPr>
              <w:spacing w:before="0" w:after="0"/>
              <w:jc w:val="center"/>
            </w:pPr>
            <w:r>
              <w:rPr>
                <w:rFonts w:ascii="宋体" w:hAnsi="宋体" w:eastAsia="宋体"/>
                <w:b w:val="0"/>
                <w:sz w:val="17"/>
              </w:rPr>
              <w:t>-18.9%</w:t>
            </w:r>
          </w:p>
        </w:tc>
        <w:tc>
          <w:tcPr>
            <w:tcW w:type="dxa" w:w="864"/>
          </w:tcPr>
          <w:p>
            <w:pPr>
              <w:spacing w:before="0" w:after="0"/>
              <w:jc w:val="center"/>
            </w:pPr>
            <w:r>
              <w:rPr>
                <w:rFonts w:ascii="宋体" w:hAnsi="宋体" w:eastAsia="宋体"/>
                <w:b w:val="0"/>
                <w:sz w:val="17"/>
              </w:rPr>
              <w:t>0.27</w:t>
            </w:r>
          </w:p>
        </w:tc>
        <w:tc>
          <w:tcPr>
            <w:tcW w:type="dxa" w:w="864"/>
          </w:tcPr>
          <w:p>
            <w:pPr>
              <w:spacing w:before="0" w:after="0"/>
              <w:jc w:val="center"/>
            </w:pPr>
            <w:r>
              <w:rPr>
                <w:rFonts w:ascii="宋体" w:hAnsi="宋体" w:eastAsia="宋体"/>
                <w:b w:val="0"/>
                <w:sz w:val="17"/>
              </w:rPr>
              <w:t>-27.4%</w:t>
            </w:r>
          </w:p>
        </w:tc>
        <w:tc>
          <w:tcPr>
            <w:tcW w:type="dxa" w:w="864"/>
          </w:tcPr>
          <w:p>
            <w:pPr>
              <w:spacing w:before="0" w:after="0"/>
              <w:jc w:val="center"/>
            </w:pPr>
            <w:r>
              <w:rPr>
                <w:rFonts w:ascii="宋体" w:hAnsi="宋体" w:eastAsia="宋体"/>
                <w:b w:val="0"/>
                <w:sz w:val="17"/>
              </w:rPr>
              <w:t>-30.0%</w:t>
            </w:r>
          </w:p>
        </w:tc>
        <w:tc>
          <w:tcPr>
            <w:tcW w:type="dxa" w:w="864"/>
          </w:tcPr>
          <w:p>
            <w:pPr>
              <w:spacing w:before="0" w:after="0"/>
              <w:jc w:val="center"/>
            </w:pPr>
            <w:r>
              <w:rPr>
                <w:rFonts w:ascii="宋体" w:hAnsi="宋体" w:eastAsia="宋体"/>
                <w:b w:val="0"/>
                <w:sz w:val="17"/>
              </w:rPr>
              <w:t>49%</w:t>
            </w:r>
          </w:p>
        </w:tc>
        <w:tc>
          <w:tcPr>
            <w:tcW w:type="dxa" w:w="864"/>
          </w:tcPr>
          <w:p>
            <w:pPr>
              <w:spacing w:before="0" w:after="0"/>
              <w:jc w:val="center"/>
            </w:pPr>
            <w:r>
              <w:rPr>
                <w:rFonts w:ascii="宋体" w:hAnsi="宋体" w:eastAsia="宋体"/>
                <w:b w:val="0"/>
                <w:sz w:val="17"/>
              </w:rPr>
              <w:t>3.30</w:t>
            </w:r>
          </w:p>
        </w:tc>
      </w:tr>
      <w:tr>
        <w:tc>
          <w:tcPr>
            <w:tcW w:type="dxa" w:w="864"/>
          </w:tcPr>
          <w:p>
            <w:pPr>
              <w:spacing w:before="0" w:after="0"/>
              <w:jc w:val="center"/>
            </w:pPr>
            <w:r>
              <w:rPr>
                <w:rFonts w:ascii="宋体" w:hAnsi="宋体" w:eastAsia="宋体"/>
                <w:b w:val="0"/>
                <w:sz w:val="17"/>
              </w:rPr>
              <w:t>纳指ETF</w:t>
            </w:r>
          </w:p>
        </w:tc>
        <w:tc>
          <w:tcPr>
            <w:tcW w:type="dxa" w:w="864"/>
          </w:tcPr>
          <w:p>
            <w:pPr>
              <w:spacing w:before="0" w:after="0"/>
              <w:jc w:val="center"/>
            </w:pPr>
            <w:r>
              <w:rPr>
                <w:rFonts w:ascii="宋体" w:hAnsi="宋体" w:eastAsia="宋体"/>
                <w:b w:val="0"/>
                <w:sz w:val="17"/>
              </w:rPr>
              <w:t>System2(55/20)</w:t>
            </w:r>
          </w:p>
        </w:tc>
        <w:tc>
          <w:tcPr>
            <w:tcW w:type="dxa" w:w="864"/>
          </w:tcPr>
          <w:p>
            <w:pPr>
              <w:spacing w:before="0" w:after="0"/>
              <w:jc w:val="center"/>
            </w:pPr>
            <w:r>
              <w:rPr>
                <w:rFonts w:ascii="宋体" w:hAnsi="宋体" w:eastAsia="宋体"/>
                <w:b w:val="0"/>
                <w:sz w:val="17"/>
              </w:rPr>
              <w:t>0.5%</w:t>
            </w:r>
          </w:p>
        </w:tc>
        <w:tc>
          <w:tcPr>
            <w:tcW w:type="dxa" w:w="864"/>
          </w:tcPr>
          <w:p>
            <w:pPr>
              <w:spacing w:before="0" w:after="0"/>
              <w:jc w:val="center"/>
            </w:pPr>
            <w:r>
              <w:rPr>
                <w:rFonts w:ascii="宋体" w:hAnsi="宋体" w:eastAsia="宋体"/>
                <w:b w:val="0"/>
                <w:sz w:val="17"/>
              </w:rPr>
              <w:t>21.7%</w:t>
            </w:r>
          </w:p>
        </w:tc>
        <w:tc>
          <w:tcPr>
            <w:tcW w:type="dxa" w:w="864"/>
          </w:tcPr>
          <w:p>
            <w:pPr>
              <w:spacing w:before="0" w:after="0"/>
              <w:jc w:val="center"/>
            </w:pPr>
            <w:r>
              <w:rPr>
                <w:rFonts w:ascii="宋体" w:hAnsi="宋体" w:eastAsia="宋体"/>
                <w:b w:val="0"/>
                <w:sz w:val="17"/>
              </w:rPr>
              <w:t>-21.2%</w:t>
            </w:r>
          </w:p>
        </w:tc>
        <w:tc>
          <w:tcPr>
            <w:tcW w:type="dxa" w:w="864"/>
          </w:tcPr>
          <w:p>
            <w:pPr>
              <w:spacing w:before="0" w:after="0"/>
              <w:jc w:val="center"/>
            </w:pPr>
            <w:r>
              <w:rPr>
                <w:rFonts w:ascii="宋体" w:hAnsi="宋体" w:eastAsia="宋体"/>
                <w:b w:val="0"/>
                <w:sz w:val="17"/>
              </w:rPr>
              <w:t>0.11</w:t>
            </w:r>
          </w:p>
        </w:tc>
        <w:tc>
          <w:tcPr>
            <w:tcW w:type="dxa" w:w="864"/>
          </w:tcPr>
          <w:p>
            <w:pPr>
              <w:spacing w:before="0" w:after="0"/>
              <w:jc w:val="center"/>
            </w:pPr>
            <w:r>
              <w:rPr>
                <w:rFonts w:ascii="宋体" w:hAnsi="宋体" w:eastAsia="宋体"/>
                <w:b w:val="0"/>
                <w:sz w:val="17"/>
              </w:rPr>
              <w:t>-35.7%</w:t>
            </w:r>
          </w:p>
        </w:tc>
        <w:tc>
          <w:tcPr>
            <w:tcW w:type="dxa" w:w="864"/>
          </w:tcPr>
          <w:p>
            <w:pPr>
              <w:spacing w:before="0" w:after="0"/>
              <w:jc w:val="center"/>
            </w:pPr>
            <w:r>
              <w:rPr>
                <w:rFonts w:ascii="宋体" w:hAnsi="宋体" w:eastAsia="宋体"/>
                <w:b w:val="0"/>
                <w:sz w:val="17"/>
              </w:rPr>
              <w:t>-30.0%</w:t>
            </w:r>
          </w:p>
        </w:tc>
        <w:tc>
          <w:tcPr>
            <w:tcW w:type="dxa" w:w="864"/>
          </w:tcPr>
          <w:p>
            <w:pPr>
              <w:spacing w:before="0" w:after="0"/>
              <w:jc w:val="center"/>
            </w:pPr>
            <w:r>
              <w:rPr>
                <w:rFonts w:ascii="宋体" w:hAnsi="宋体" w:eastAsia="宋体"/>
                <w:b w:val="0"/>
                <w:sz w:val="17"/>
              </w:rPr>
              <w:t>46%</w:t>
            </w:r>
          </w:p>
        </w:tc>
        <w:tc>
          <w:tcPr>
            <w:tcW w:type="dxa" w:w="864"/>
          </w:tcPr>
          <w:p>
            <w:pPr>
              <w:spacing w:before="0" w:after="0"/>
              <w:jc w:val="center"/>
            </w:pPr>
            <w:r>
              <w:rPr>
                <w:rFonts w:ascii="宋体" w:hAnsi="宋体" w:eastAsia="宋体"/>
                <w:b w:val="0"/>
                <w:sz w:val="17"/>
              </w:rPr>
              <w:t>1.88</w:t>
            </w:r>
          </w:p>
        </w:tc>
      </w:tr>
    </w:tbl>
    <w:p>
      <w:pPr>
        <w:spacing w:line="360" w:lineRule="auto" w:before="0" w:after="0"/>
        <w:ind w:firstLine="420"/>
        <w:jc w:val="both"/>
      </w:pPr>
      <w:r>
        <w:rPr>
          <w:rFonts w:ascii="宋体" w:hAnsi="宋体" w:eastAsia="宋体"/>
          <w:b w:val="0"/>
          <w:sz w:val="21"/>
        </w:rPr>
        <w:t>结果与文献既有印证、也有一层重要修正。黄金 ETF 是海龟的“理想画像”：系统二年化 5.3%、夏普 0.51、胜率 63%、盈亏比高达 3.73，最大回撤仅 16.7%——远低于买入持有的 30.5%。但在 2018—2026 这段黄金整体单边上涨的行情里，买入持有年化高达 15.6%，海龟的超额收益为负（−10.3%）。这揭示了一个诚实结论：在“一路上涨、少有深调”的长牛现货中，任何“突破进、破位出”的择时都会因反复止损而跑输“一直满仓”。纳指 ETF 同理，且系统一优于系统二（近年纳指波动加剧，短周期反应更快）。</w:t>
      </w:r>
    </w:p>
    <w:p>
      <w:pPr>
        <w:spacing w:line="360" w:lineRule="auto" w:before="0" w:after="0"/>
        <w:jc w:val="center"/>
      </w:pPr>
      <w:r>
        <w:drawing>
          <wp:inline xmlns:a="http://schemas.openxmlformats.org/drawingml/2006/main" xmlns:pic="http://schemas.openxmlformats.org/drawingml/2006/picture">
            <wp:extent cx="5577840" cy="2609815"/>
            <wp:docPr id="3" name="Picture 3"/>
            <wp:cNvGraphicFramePr>
              <a:graphicFrameLocks noChangeAspect="1"/>
            </wp:cNvGraphicFramePr>
            <a:graphic>
              <a:graphicData uri="http://schemas.openxmlformats.org/drawingml/2006/picture">
                <pic:pic>
                  <pic:nvPicPr>
                    <pic:cNvPr id="0" name="equity_sh518880.png"/>
                    <pic:cNvPicPr/>
                  </pic:nvPicPr>
                  <pic:blipFill>
                    <a:blip r:embed="rId11"/>
                    <a:stretch>
                      <a:fillRect/>
                    </a:stretch>
                  </pic:blipFill>
                  <pic:spPr>
                    <a:xfrm>
                      <a:off x="0" y="0"/>
                      <a:ext cx="5577840" cy="2609815"/>
                    </a:xfrm>
                    <a:prstGeom prst="rect"/>
                  </pic:spPr>
                </pic:pic>
              </a:graphicData>
            </a:graphic>
          </wp:inline>
        </w:drawing>
      </w:r>
    </w:p>
    <w:p>
      <w:pPr>
        <w:spacing w:line="360" w:lineRule="auto" w:before="0" w:after="0"/>
        <w:jc w:val="center"/>
      </w:pPr>
      <w:r>
        <w:rPr>
          <w:rFonts w:ascii="宋体" w:hAnsi="宋体" w:eastAsia="宋体"/>
          <w:b/>
          <w:sz w:val="18"/>
        </w:rPr>
        <w:t>图 3　黄金 ETF 两套海龟系统净值 vs 买入持有</w:t>
      </w:r>
    </w:p>
    <w:p>
      <w:pPr>
        <w:spacing w:line="360" w:lineRule="auto" w:before="0" w:after="0"/>
        <w:ind w:firstLine="420"/>
        <w:jc w:val="both"/>
      </w:pPr>
      <w:r>
        <w:rPr>
          <w:rFonts w:ascii="宋体" w:hAnsi="宋体" w:eastAsia="宋体"/>
          <w:b w:val="0"/>
          <w:sz w:val="21"/>
        </w:rPr>
        <w:t>如图 3，黄金 ETF 买入持有（灰色虚线）在 2024—2025 年加速上行，而海龟策略因每轮小回调都触发离场/止损、错过部分连续涨幅，净值增长较缓。但换个角度：策略净值曲线明显更平滑、回撤更浅，这正是趋势跟踪“用部分收益换回撤保护”的取舍。</w:t>
      </w:r>
    </w:p>
    <w:p>
      <w:pPr>
        <w:spacing w:line="360" w:lineRule="auto" w:before="0" w:after="0"/>
        <w:ind w:firstLine="420"/>
        <w:jc w:val="left"/>
      </w:pPr>
      <w:r>
        <w:rPr>
          <w:rFonts w:ascii="宋体" w:hAnsi="宋体" w:eastAsia="宋体"/>
          <w:b/>
          <w:sz w:val="22"/>
        </w:rPr>
        <w:t>3. 全部标的横向对比（System2 · 55/20）</w:t>
      </w:r>
    </w:p>
    <w:p>
      <w:pPr>
        <w:spacing w:line="360" w:lineRule="auto" w:before="0" w:after="0"/>
        <w:ind w:firstLine="420"/>
        <w:jc w:val="both"/>
      </w:pPr>
      <w:r>
        <w:rPr>
          <w:rFonts w:ascii="宋体" w:hAnsi="宋体" w:eastAsia="宋体"/>
          <w:b w:val="0"/>
          <w:sz w:val="21"/>
        </w:rPr>
        <w:t>表 2 汇总全部 8 个标的在系统二下的表现，按超额年化从高到低排序；图 4 为对应的超额收益柱状图。</w:t>
      </w:r>
    </w:p>
    <w:p>
      <w:pPr>
        <w:spacing w:line="360" w:lineRule="auto" w:before="0" w:after="0"/>
        <w:jc w:val="center"/>
      </w:pPr>
      <w:r>
        <w:rPr>
          <w:rFonts w:ascii="宋体" w:hAnsi="宋体" w:eastAsia="宋体"/>
          <w:b/>
          <w:sz w:val="18"/>
        </w:rPr>
        <w:t>表 2　8 标的海龟策略（System2）指标全览（按超额年化排序）</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Pr>
                <w:rFonts w:ascii="宋体" w:hAnsi="宋体" w:eastAsia="宋体"/>
                <w:b/>
                <w:sz w:val="17"/>
              </w:rPr>
              <w:t>标的</w:t>
            </w:r>
          </w:p>
        </w:tc>
        <w:tc>
          <w:tcPr>
            <w:tcW w:type="dxa" w:w="864"/>
          </w:tcPr>
          <w:p>
            <w:pPr>
              <w:jc w:val="center"/>
            </w:pPr>
            <w:r>
              <w:rPr>
                <w:rFonts w:ascii="宋体" w:hAnsi="宋体" w:eastAsia="宋体"/>
                <w:b/>
                <w:sz w:val="17"/>
              </w:rPr>
              <w:t>策略年化</w:t>
            </w:r>
          </w:p>
        </w:tc>
        <w:tc>
          <w:tcPr>
            <w:tcW w:type="dxa" w:w="864"/>
          </w:tcPr>
          <w:p>
            <w:pPr>
              <w:jc w:val="center"/>
            </w:pPr>
            <w:r>
              <w:rPr>
                <w:rFonts w:ascii="宋体" w:hAnsi="宋体" w:eastAsia="宋体"/>
                <w:b/>
                <w:sz w:val="17"/>
              </w:rPr>
              <w:t>基准年化</w:t>
            </w:r>
          </w:p>
        </w:tc>
        <w:tc>
          <w:tcPr>
            <w:tcW w:type="dxa" w:w="864"/>
          </w:tcPr>
          <w:p>
            <w:pPr>
              <w:jc w:val="center"/>
            </w:pPr>
            <w:r>
              <w:rPr>
                <w:rFonts w:ascii="宋体" w:hAnsi="宋体" w:eastAsia="宋体"/>
                <w:b/>
                <w:sz w:val="17"/>
              </w:rPr>
              <w:t>超额年化</w:t>
            </w:r>
          </w:p>
        </w:tc>
        <w:tc>
          <w:tcPr>
            <w:tcW w:type="dxa" w:w="864"/>
          </w:tcPr>
          <w:p>
            <w:pPr>
              <w:jc w:val="center"/>
            </w:pPr>
            <w:r>
              <w:rPr>
                <w:rFonts w:ascii="宋体" w:hAnsi="宋体" w:eastAsia="宋体"/>
                <w:b/>
                <w:sz w:val="17"/>
              </w:rPr>
              <w:t>夏普</w:t>
            </w:r>
          </w:p>
        </w:tc>
        <w:tc>
          <w:tcPr>
            <w:tcW w:type="dxa" w:w="864"/>
          </w:tcPr>
          <w:p>
            <w:pPr>
              <w:jc w:val="center"/>
            </w:pPr>
            <w:r>
              <w:rPr>
                <w:rFonts w:ascii="宋体" w:hAnsi="宋体" w:eastAsia="宋体"/>
                <w:b/>
                <w:sz w:val="17"/>
              </w:rPr>
              <w:t>卡玛</w:t>
            </w:r>
          </w:p>
        </w:tc>
        <w:tc>
          <w:tcPr>
            <w:tcW w:type="dxa" w:w="864"/>
          </w:tcPr>
          <w:p>
            <w:pPr>
              <w:jc w:val="center"/>
            </w:pPr>
            <w:r>
              <w:rPr>
                <w:rFonts w:ascii="宋体" w:hAnsi="宋体" w:eastAsia="宋体"/>
                <w:b/>
                <w:sz w:val="17"/>
              </w:rPr>
              <w:t>策略回撤</w:t>
            </w:r>
          </w:p>
        </w:tc>
        <w:tc>
          <w:tcPr>
            <w:tcW w:type="dxa" w:w="864"/>
          </w:tcPr>
          <w:p>
            <w:pPr>
              <w:jc w:val="center"/>
            </w:pPr>
            <w:r>
              <w:rPr>
                <w:rFonts w:ascii="宋体" w:hAnsi="宋体" w:eastAsia="宋体"/>
                <w:b/>
                <w:sz w:val="17"/>
              </w:rPr>
              <w:t>基准回撤</w:t>
            </w:r>
          </w:p>
        </w:tc>
        <w:tc>
          <w:tcPr>
            <w:tcW w:type="dxa" w:w="864"/>
          </w:tcPr>
          <w:p>
            <w:pPr>
              <w:jc w:val="center"/>
            </w:pPr>
            <w:r>
              <w:rPr>
                <w:rFonts w:ascii="宋体" w:hAnsi="宋体" w:eastAsia="宋体"/>
                <w:b/>
                <w:sz w:val="17"/>
              </w:rPr>
              <w:t>交易次数</w:t>
            </w:r>
          </w:p>
        </w:tc>
        <w:tc>
          <w:tcPr>
            <w:tcW w:type="dxa" w:w="864"/>
          </w:tcPr>
          <w:p>
            <w:pPr>
              <w:jc w:val="center"/>
            </w:pPr>
            <w:r>
              <w:rPr>
                <w:rFonts w:ascii="宋体" w:hAnsi="宋体" w:eastAsia="宋体"/>
                <w:b/>
                <w:sz w:val="17"/>
              </w:rPr>
              <w:t>胜率</w:t>
            </w:r>
          </w:p>
        </w:tc>
      </w:tr>
      <w:tr>
        <w:tc>
          <w:tcPr>
            <w:tcW w:type="dxa" w:w="864"/>
          </w:tcPr>
          <w:p>
            <w:pPr>
              <w:spacing w:before="0" w:after="0"/>
              <w:jc w:val="center"/>
            </w:pPr>
            <w:r>
              <w:rPr>
                <w:rFonts w:ascii="宋体" w:hAnsi="宋体" w:eastAsia="宋体"/>
                <w:b w:val="0"/>
                <w:sz w:val="17"/>
              </w:rPr>
              <w:t>腾讯控股</w:t>
            </w:r>
          </w:p>
        </w:tc>
        <w:tc>
          <w:tcPr>
            <w:tcW w:type="dxa" w:w="864"/>
          </w:tcPr>
          <w:p>
            <w:pPr>
              <w:spacing w:before="0" w:after="0"/>
              <w:jc w:val="center"/>
            </w:pPr>
            <w:r>
              <w:rPr>
                <w:rFonts w:ascii="宋体" w:hAnsi="宋体" w:eastAsia="宋体"/>
                <w:b w:val="0"/>
                <w:sz w:val="17"/>
              </w:rPr>
              <w:t>8.3%</w:t>
            </w:r>
          </w:p>
        </w:tc>
        <w:tc>
          <w:tcPr>
            <w:tcW w:type="dxa" w:w="864"/>
          </w:tcPr>
          <w:p>
            <w:pPr>
              <w:spacing w:before="0" w:after="0"/>
              <w:jc w:val="center"/>
            </w:pPr>
            <w:r>
              <w:rPr>
                <w:rFonts w:ascii="宋体" w:hAnsi="宋体" w:eastAsia="宋体"/>
                <w:b w:val="0"/>
                <w:sz w:val="17"/>
              </w:rPr>
              <w:t>3.5%</w:t>
            </w:r>
          </w:p>
        </w:tc>
        <w:tc>
          <w:tcPr>
            <w:tcW w:type="dxa" w:w="864"/>
          </w:tcPr>
          <w:p>
            <w:pPr>
              <w:spacing w:before="0" w:after="0"/>
              <w:jc w:val="center"/>
            </w:pPr>
            <w:r>
              <w:rPr>
                <w:rFonts w:ascii="宋体" w:hAnsi="宋体" w:eastAsia="宋体"/>
                <w:b w:val="0"/>
                <w:sz w:val="17"/>
              </w:rPr>
              <w:t>4.9%</w:t>
            </w:r>
          </w:p>
        </w:tc>
        <w:tc>
          <w:tcPr>
            <w:tcW w:type="dxa" w:w="864"/>
          </w:tcPr>
          <w:p>
            <w:pPr>
              <w:spacing w:before="0" w:after="0"/>
              <w:jc w:val="center"/>
            </w:pPr>
            <w:r>
              <w:rPr>
                <w:rFonts w:ascii="宋体" w:hAnsi="宋体" w:eastAsia="宋体"/>
                <w:b w:val="0"/>
                <w:sz w:val="17"/>
              </w:rPr>
              <w:t>0.51</w:t>
            </w:r>
          </w:p>
        </w:tc>
        <w:tc>
          <w:tcPr>
            <w:tcW w:type="dxa" w:w="864"/>
          </w:tcPr>
          <w:p>
            <w:pPr>
              <w:spacing w:before="0" w:after="0"/>
              <w:jc w:val="center"/>
            </w:pPr>
            <w:r>
              <w:rPr>
                <w:rFonts w:ascii="宋体" w:hAnsi="宋体" w:eastAsia="宋体"/>
                <w:b w:val="0"/>
                <w:sz w:val="17"/>
              </w:rPr>
              <w:t>0.40</w:t>
            </w:r>
          </w:p>
        </w:tc>
        <w:tc>
          <w:tcPr>
            <w:tcW w:type="dxa" w:w="864"/>
          </w:tcPr>
          <w:p>
            <w:pPr>
              <w:spacing w:before="0" w:after="0"/>
              <w:jc w:val="center"/>
            </w:pPr>
            <w:r>
              <w:rPr>
                <w:rFonts w:ascii="宋体" w:hAnsi="宋体" w:eastAsia="宋体"/>
                <w:b w:val="0"/>
                <w:sz w:val="17"/>
              </w:rPr>
              <w:t>-21.0%</w:t>
            </w:r>
          </w:p>
        </w:tc>
        <w:tc>
          <w:tcPr>
            <w:tcW w:type="dxa" w:w="864"/>
          </w:tcPr>
          <w:p>
            <w:pPr>
              <w:spacing w:before="0" w:after="0"/>
              <w:jc w:val="center"/>
            </w:pPr>
            <w:r>
              <w:rPr>
                <w:rFonts w:ascii="宋体" w:hAnsi="宋体" w:eastAsia="宋体"/>
                <w:b w:val="0"/>
                <w:sz w:val="17"/>
              </w:rPr>
              <w:t>-76.7%</w:t>
            </w:r>
          </w:p>
        </w:tc>
        <w:tc>
          <w:tcPr>
            <w:tcW w:type="dxa" w:w="864"/>
          </w:tcPr>
          <w:p>
            <w:pPr>
              <w:spacing w:before="0" w:after="0"/>
              <w:jc w:val="center"/>
            </w:pPr>
            <w:r>
              <w:rPr>
                <w:rFonts w:ascii="宋体" w:hAnsi="宋体" w:eastAsia="宋体"/>
                <w:b w:val="0"/>
                <w:sz w:val="17"/>
              </w:rPr>
              <w:t>11</w:t>
            </w:r>
          </w:p>
        </w:tc>
        <w:tc>
          <w:tcPr>
            <w:tcW w:type="dxa" w:w="864"/>
          </w:tcPr>
          <w:p>
            <w:pPr>
              <w:spacing w:before="0" w:after="0"/>
              <w:jc w:val="center"/>
            </w:pPr>
            <w:r>
              <w:rPr>
                <w:rFonts w:ascii="宋体" w:hAnsi="宋体" w:eastAsia="宋体"/>
                <w:b w:val="0"/>
                <w:sz w:val="17"/>
              </w:rPr>
              <w:t>82%</w:t>
            </w:r>
          </w:p>
        </w:tc>
      </w:tr>
      <w:tr>
        <w:tc>
          <w:tcPr>
            <w:tcW w:type="dxa" w:w="864"/>
          </w:tcPr>
          <w:p>
            <w:pPr>
              <w:spacing w:before="0" w:after="0"/>
              <w:jc w:val="center"/>
            </w:pPr>
            <w:r>
              <w:rPr>
                <w:rFonts w:ascii="宋体" w:hAnsi="宋体" w:eastAsia="宋体"/>
                <w:b w:val="0"/>
                <w:sz w:val="17"/>
              </w:rPr>
              <w:t>沪深300ETF</w:t>
            </w:r>
          </w:p>
        </w:tc>
        <w:tc>
          <w:tcPr>
            <w:tcW w:type="dxa" w:w="864"/>
          </w:tcPr>
          <w:p>
            <w:pPr>
              <w:spacing w:before="0" w:after="0"/>
              <w:jc w:val="center"/>
            </w:pPr>
            <w:r>
              <w:rPr>
                <w:rFonts w:ascii="宋体" w:hAnsi="宋体" w:eastAsia="宋体"/>
                <w:b w:val="0"/>
                <w:sz w:val="17"/>
              </w:rPr>
              <w:t>4.5%</w:t>
            </w:r>
          </w:p>
        </w:tc>
        <w:tc>
          <w:tcPr>
            <w:tcW w:type="dxa" w:w="864"/>
          </w:tcPr>
          <w:p>
            <w:pPr>
              <w:spacing w:before="0" w:after="0"/>
              <w:jc w:val="center"/>
            </w:pPr>
            <w:r>
              <w:rPr>
                <w:rFonts w:ascii="宋体" w:hAnsi="宋体" w:eastAsia="宋体"/>
                <w:b w:val="0"/>
                <w:sz w:val="17"/>
              </w:rPr>
              <w:t>4.9%</w:t>
            </w:r>
          </w:p>
        </w:tc>
        <w:tc>
          <w:tcPr>
            <w:tcW w:type="dxa" w:w="864"/>
          </w:tcPr>
          <w:p>
            <w:pPr>
              <w:spacing w:before="0" w:after="0"/>
              <w:jc w:val="center"/>
            </w:pPr>
            <w:r>
              <w:rPr>
                <w:rFonts w:ascii="宋体" w:hAnsi="宋体" w:eastAsia="宋体"/>
                <w:b w:val="0"/>
                <w:sz w:val="17"/>
              </w:rPr>
              <w:t>-0.3%</w:t>
            </w:r>
          </w:p>
        </w:tc>
        <w:tc>
          <w:tcPr>
            <w:tcW w:type="dxa" w:w="864"/>
          </w:tcPr>
          <w:p>
            <w:pPr>
              <w:spacing w:before="0" w:after="0"/>
              <w:jc w:val="center"/>
            </w:pPr>
            <w:r>
              <w:rPr>
                <w:rFonts w:ascii="宋体" w:hAnsi="宋体" w:eastAsia="宋体"/>
                <w:b w:val="0"/>
                <w:sz w:val="17"/>
              </w:rPr>
              <w:t>0.44</w:t>
            </w:r>
          </w:p>
        </w:tc>
        <w:tc>
          <w:tcPr>
            <w:tcW w:type="dxa" w:w="864"/>
          </w:tcPr>
          <w:p>
            <w:pPr>
              <w:spacing w:before="0" w:after="0"/>
              <w:jc w:val="center"/>
            </w:pPr>
            <w:r>
              <w:rPr>
                <w:rFonts w:ascii="宋体" w:hAnsi="宋体" w:eastAsia="宋体"/>
                <w:b w:val="0"/>
                <w:sz w:val="17"/>
              </w:rPr>
              <w:t>0.23</w:t>
            </w:r>
          </w:p>
        </w:tc>
        <w:tc>
          <w:tcPr>
            <w:tcW w:type="dxa" w:w="864"/>
          </w:tcPr>
          <w:p>
            <w:pPr>
              <w:spacing w:before="0" w:after="0"/>
              <w:jc w:val="center"/>
            </w:pPr>
            <w:r>
              <w:rPr>
                <w:rFonts w:ascii="宋体" w:hAnsi="宋体" w:eastAsia="宋体"/>
                <w:b w:val="0"/>
                <w:sz w:val="17"/>
              </w:rPr>
              <w:t>-19.5%</w:t>
            </w:r>
          </w:p>
        </w:tc>
        <w:tc>
          <w:tcPr>
            <w:tcW w:type="dxa" w:w="864"/>
          </w:tcPr>
          <w:p>
            <w:pPr>
              <w:spacing w:before="0" w:after="0"/>
              <w:jc w:val="center"/>
            </w:pPr>
            <w:r>
              <w:rPr>
                <w:rFonts w:ascii="宋体" w:hAnsi="宋体" w:eastAsia="宋体"/>
                <w:b w:val="0"/>
                <w:sz w:val="17"/>
              </w:rPr>
              <w:t>-44.7%</w:t>
            </w:r>
          </w:p>
        </w:tc>
        <w:tc>
          <w:tcPr>
            <w:tcW w:type="dxa" w:w="864"/>
          </w:tcPr>
          <w:p>
            <w:pPr>
              <w:spacing w:before="0" w:after="0"/>
              <w:jc w:val="center"/>
            </w:pPr>
            <w:r>
              <w:rPr>
                <w:rFonts w:ascii="宋体" w:hAnsi="宋体" w:eastAsia="宋体"/>
                <w:b w:val="0"/>
                <w:sz w:val="17"/>
              </w:rPr>
              <w:t>17</w:t>
            </w:r>
          </w:p>
        </w:tc>
        <w:tc>
          <w:tcPr>
            <w:tcW w:type="dxa" w:w="864"/>
          </w:tcPr>
          <w:p>
            <w:pPr>
              <w:spacing w:before="0" w:after="0"/>
              <w:jc w:val="center"/>
            </w:pPr>
            <w:r>
              <w:rPr>
                <w:rFonts w:ascii="宋体" w:hAnsi="宋体" w:eastAsia="宋体"/>
                <w:b w:val="0"/>
                <w:sz w:val="17"/>
              </w:rPr>
              <w:t>47%</w:t>
            </w:r>
          </w:p>
        </w:tc>
      </w:tr>
      <w:tr>
        <w:tc>
          <w:tcPr>
            <w:tcW w:type="dxa" w:w="864"/>
          </w:tcPr>
          <w:p>
            <w:pPr>
              <w:spacing w:before="0" w:after="0"/>
              <w:jc w:val="center"/>
            </w:pPr>
            <w:r>
              <w:rPr>
                <w:rFonts w:ascii="宋体" w:hAnsi="宋体" w:eastAsia="宋体"/>
                <w:b w:val="0"/>
                <w:sz w:val="17"/>
              </w:rPr>
              <w:t>科创50ETF</w:t>
            </w:r>
          </w:p>
        </w:tc>
        <w:tc>
          <w:tcPr>
            <w:tcW w:type="dxa" w:w="864"/>
          </w:tcPr>
          <w:p>
            <w:pPr>
              <w:spacing w:before="0" w:after="0"/>
              <w:jc w:val="center"/>
            </w:pPr>
            <w:r>
              <w:rPr>
                <w:rFonts w:ascii="宋体" w:hAnsi="宋体" w:eastAsia="宋体"/>
                <w:b w:val="0"/>
                <w:sz w:val="17"/>
              </w:rPr>
              <w:t>5.6%</w:t>
            </w:r>
          </w:p>
        </w:tc>
        <w:tc>
          <w:tcPr>
            <w:tcW w:type="dxa" w:w="864"/>
          </w:tcPr>
          <w:p>
            <w:pPr>
              <w:spacing w:before="0" w:after="0"/>
              <w:jc w:val="center"/>
            </w:pPr>
            <w:r>
              <w:rPr>
                <w:rFonts w:ascii="宋体" w:hAnsi="宋体" w:eastAsia="宋体"/>
                <w:b w:val="0"/>
                <w:sz w:val="17"/>
              </w:rPr>
              <w:t>7.2%</w:t>
            </w:r>
          </w:p>
        </w:tc>
        <w:tc>
          <w:tcPr>
            <w:tcW w:type="dxa" w:w="864"/>
          </w:tcPr>
          <w:p>
            <w:pPr>
              <w:spacing w:before="0" w:after="0"/>
              <w:jc w:val="center"/>
            </w:pPr>
            <w:r>
              <w:rPr>
                <w:rFonts w:ascii="宋体" w:hAnsi="宋体" w:eastAsia="宋体"/>
                <w:b w:val="0"/>
                <w:sz w:val="17"/>
              </w:rPr>
              <w:t>-1.6%</w:t>
            </w:r>
          </w:p>
        </w:tc>
        <w:tc>
          <w:tcPr>
            <w:tcW w:type="dxa" w:w="864"/>
          </w:tcPr>
          <w:p>
            <w:pPr>
              <w:spacing w:before="0" w:after="0"/>
              <w:jc w:val="center"/>
            </w:pPr>
            <w:r>
              <w:rPr>
                <w:rFonts w:ascii="宋体" w:hAnsi="宋体" w:eastAsia="宋体"/>
                <w:b w:val="0"/>
                <w:sz w:val="17"/>
              </w:rPr>
              <w:t>0.43</w:t>
            </w:r>
          </w:p>
        </w:tc>
        <w:tc>
          <w:tcPr>
            <w:tcW w:type="dxa" w:w="864"/>
          </w:tcPr>
          <w:p>
            <w:pPr>
              <w:spacing w:before="0" w:after="0"/>
              <w:jc w:val="center"/>
            </w:pPr>
            <w:r>
              <w:rPr>
                <w:rFonts w:ascii="宋体" w:hAnsi="宋体" w:eastAsia="宋体"/>
                <w:b w:val="0"/>
                <w:sz w:val="17"/>
              </w:rPr>
              <w:t>0.34</w:t>
            </w:r>
          </w:p>
        </w:tc>
        <w:tc>
          <w:tcPr>
            <w:tcW w:type="dxa" w:w="864"/>
          </w:tcPr>
          <w:p>
            <w:pPr>
              <w:spacing w:before="0" w:after="0"/>
              <w:jc w:val="center"/>
            </w:pPr>
            <w:r>
              <w:rPr>
                <w:rFonts w:ascii="宋体" w:hAnsi="宋体" w:eastAsia="宋体"/>
                <w:b w:val="0"/>
                <w:sz w:val="17"/>
              </w:rPr>
              <w:t>-16.5%</w:t>
            </w:r>
          </w:p>
        </w:tc>
        <w:tc>
          <w:tcPr>
            <w:tcW w:type="dxa" w:w="864"/>
          </w:tcPr>
          <w:p>
            <w:pPr>
              <w:spacing w:before="0" w:after="0"/>
              <w:jc w:val="center"/>
            </w:pPr>
            <w:r>
              <w:rPr>
                <w:rFonts w:ascii="宋体" w:hAnsi="宋体" w:eastAsia="宋体"/>
                <w:b w:val="0"/>
                <w:sz w:val="17"/>
              </w:rPr>
              <w:t>-59.9%</w:t>
            </w:r>
          </w:p>
        </w:tc>
        <w:tc>
          <w:tcPr>
            <w:tcW w:type="dxa" w:w="864"/>
          </w:tcPr>
          <w:p>
            <w:pPr>
              <w:spacing w:before="0" w:after="0"/>
              <w:jc w:val="center"/>
            </w:pPr>
            <w:r>
              <w:rPr>
                <w:rFonts w:ascii="宋体" w:hAnsi="宋体" w:eastAsia="宋体"/>
                <w:b w:val="0"/>
                <w:sz w:val="17"/>
              </w:rPr>
              <w:t>10</w:t>
            </w:r>
          </w:p>
        </w:tc>
        <w:tc>
          <w:tcPr>
            <w:tcW w:type="dxa" w:w="864"/>
          </w:tcPr>
          <w:p>
            <w:pPr>
              <w:spacing w:before="0" w:after="0"/>
              <w:jc w:val="center"/>
            </w:pPr>
            <w:r>
              <w:rPr>
                <w:rFonts w:ascii="宋体" w:hAnsi="宋体" w:eastAsia="宋体"/>
                <w:b w:val="0"/>
                <w:sz w:val="17"/>
              </w:rPr>
              <w:t>60%</w:t>
            </w:r>
          </w:p>
        </w:tc>
      </w:tr>
      <w:tr>
        <w:tc>
          <w:tcPr>
            <w:tcW w:type="dxa" w:w="864"/>
          </w:tcPr>
          <w:p>
            <w:pPr>
              <w:spacing w:before="0" w:after="0"/>
              <w:jc w:val="center"/>
            </w:pPr>
            <w:r>
              <w:rPr>
                <w:rFonts w:ascii="宋体" w:hAnsi="宋体" w:eastAsia="宋体"/>
                <w:b w:val="0"/>
                <w:sz w:val="17"/>
              </w:rPr>
              <w:t>中证500ETF</w:t>
            </w:r>
          </w:p>
        </w:tc>
        <w:tc>
          <w:tcPr>
            <w:tcW w:type="dxa" w:w="864"/>
          </w:tcPr>
          <w:p>
            <w:pPr>
              <w:spacing w:before="0" w:after="0"/>
              <w:jc w:val="center"/>
            </w:pPr>
            <w:r>
              <w:rPr>
                <w:rFonts w:ascii="宋体" w:hAnsi="宋体" w:eastAsia="宋体"/>
                <w:b w:val="0"/>
                <w:sz w:val="17"/>
              </w:rPr>
              <w:t>0.9%</w:t>
            </w:r>
          </w:p>
        </w:tc>
        <w:tc>
          <w:tcPr>
            <w:tcW w:type="dxa" w:w="864"/>
          </w:tcPr>
          <w:p>
            <w:pPr>
              <w:spacing w:before="0" w:after="0"/>
              <w:jc w:val="center"/>
            </w:pPr>
            <w:r>
              <w:rPr>
                <w:rFonts w:ascii="宋体" w:hAnsi="宋体" w:eastAsia="宋体"/>
                <w:b w:val="0"/>
                <w:sz w:val="17"/>
              </w:rPr>
              <w:t>6.4%</w:t>
            </w:r>
          </w:p>
        </w:tc>
        <w:tc>
          <w:tcPr>
            <w:tcW w:type="dxa" w:w="864"/>
          </w:tcPr>
          <w:p>
            <w:pPr>
              <w:spacing w:before="0" w:after="0"/>
              <w:jc w:val="center"/>
            </w:pPr>
            <w:r>
              <w:rPr>
                <w:rFonts w:ascii="宋体" w:hAnsi="宋体" w:eastAsia="宋体"/>
                <w:b w:val="0"/>
                <w:sz w:val="17"/>
              </w:rPr>
              <w:t>-5.5%</w:t>
            </w:r>
          </w:p>
        </w:tc>
        <w:tc>
          <w:tcPr>
            <w:tcW w:type="dxa" w:w="864"/>
          </w:tcPr>
          <w:p>
            <w:pPr>
              <w:spacing w:before="0" w:after="0"/>
              <w:jc w:val="center"/>
            </w:pPr>
            <w:r>
              <w:rPr>
                <w:rFonts w:ascii="宋体" w:hAnsi="宋体" w:eastAsia="宋体"/>
                <w:b w:val="0"/>
                <w:sz w:val="17"/>
              </w:rPr>
              <w:t>0.13</w:t>
            </w:r>
          </w:p>
        </w:tc>
        <w:tc>
          <w:tcPr>
            <w:tcW w:type="dxa" w:w="864"/>
          </w:tcPr>
          <w:p>
            <w:pPr>
              <w:spacing w:before="0" w:after="0"/>
              <w:jc w:val="center"/>
            </w:pPr>
            <w:r>
              <w:rPr>
                <w:rFonts w:ascii="宋体" w:hAnsi="宋体" w:eastAsia="宋体"/>
                <w:b w:val="0"/>
                <w:sz w:val="17"/>
              </w:rPr>
              <w:t>0.04</w:t>
            </w:r>
          </w:p>
        </w:tc>
        <w:tc>
          <w:tcPr>
            <w:tcW w:type="dxa" w:w="864"/>
          </w:tcPr>
          <w:p>
            <w:pPr>
              <w:spacing w:before="0" w:after="0"/>
              <w:jc w:val="center"/>
            </w:pPr>
            <w:r>
              <w:rPr>
                <w:rFonts w:ascii="宋体" w:hAnsi="宋体" w:eastAsia="宋体"/>
                <w:b w:val="0"/>
                <w:sz w:val="17"/>
              </w:rPr>
              <w:t>-23.8%</w:t>
            </w:r>
          </w:p>
        </w:tc>
        <w:tc>
          <w:tcPr>
            <w:tcW w:type="dxa" w:w="864"/>
          </w:tcPr>
          <w:p>
            <w:pPr>
              <w:spacing w:before="0" w:after="0"/>
              <w:jc w:val="center"/>
            </w:pPr>
            <w:r>
              <w:rPr>
                <w:rFonts w:ascii="宋体" w:hAnsi="宋体" w:eastAsia="宋体"/>
                <w:b w:val="0"/>
                <w:sz w:val="17"/>
              </w:rPr>
              <w:t>-40.7%</w:t>
            </w:r>
          </w:p>
        </w:tc>
        <w:tc>
          <w:tcPr>
            <w:tcW w:type="dxa" w:w="864"/>
          </w:tcPr>
          <w:p>
            <w:pPr>
              <w:spacing w:before="0" w:after="0"/>
              <w:jc w:val="center"/>
            </w:pPr>
            <w:r>
              <w:rPr>
                <w:rFonts w:ascii="宋体" w:hAnsi="宋体" w:eastAsia="宋体"/>
                <w:b w:val="0"/>
                <w:sz w:val="17"/>
              </w:rPr>
              <w:t>23</w:t>
            </w:r>
          </w:p>
        </w:tc>
        <w:tc>
          <w:tcPr>
            <w:tcW w:type="dxa" w:w="864"/>
          </w:tcPr>
          <w:p>
            <w:pPr>
              <w:spacing w:before="0" w:after="0"/>
              <w:jc w:val="center"/>
            </w:pPr>
            <w:r>
              <w:rPr>
                <w:rFonts w:ascii="宋体" w:hAnsi="宋体" w:eastAsia="宋体"/>
                <w:b w:val="0"/>
                <w:sz w:val="17"/>
              </w:rPr>
              <w:t>22%</w:t>
            </w:r>
          </w:p>
        </w:tc>
      </w:tr>
      <w:tr>
        <w:tc>
          <w:tcPr>
            <w:tcW w:type="dxa" w:w="864"/>
          </w:tcPr>
          <w:p>
            <w:pPr>
              <w:spacing w:before="0" w:after="0"/>
              <w:jc w:val="center"/>
            </w:pPr>
            <w:r>
              <w:rPr>
                <w:rFonts w:ascii="宋体" w:hAnsi="宋体" w:eastAsia="宋体"/>
                <w:b w:val="0"/>
                <w:sz w:val="17"/>
              </w:rPr>
              <w:t>黄金ETF</w:t>
            </w:r>
          </w:p>
        </w:tc>
        <w:tc>
          <w:tcPr>
            <w:tcW w:type="dxa" w:w="864"/>
          </w:tcPr>
          <w:p>
            <w:pPr>
              <w:spacing w:before="0" w:after="0"/>
              <w:jc w:val="center"/>
            </w:pPr>
            <w:r>
              <w:rPr>
                <w:rFonts w:ascii="宋体" w:hAnsi="宋体" w:eastAsia="宋体"/>
                <w:b w:val="0"/>
                <w:sz w:val="17"/>
              </w:rPr>
              <w:t>5.3%</w:t>
            </w:r>
          </w:p>
        </w:tc>
        <w:tc>
          <w:tcPr>
            <w:tcW w:type="dxa" w:w="864"/>
          </w:tcPr>
          <w:p>
            <w:pPr>
              <w:spacing w:before="0" w:after="0"/>
              <w:jc w:val="center"/>
            </w:pPr>
            <w:r>
              <w:rPr>
                <w:rFonts w:ascii="宋体" w:hAnsi="宋体" w:eastAsia="宋体"/>
                <w:b w:val="0"/>
                <w:sz w:val="17"/>
              </w:rPr>
              <w:t>15.6%</w:t>
            </w:r>
          </w:p>
        </w:tc>
        <w:tc>
          <w:tcPr>
            <w:tcW w:type="dxa" w:w="864"/>
          </w:tcPr>
          <w:p>
            <w:pPr>
              <w:spacing w:before="0" w:after="0"/>
              <w:jc w:val="center"/>
            </w:pPr>
            <w:r>
              <w:rPr>
                <w:rFonts w:ascii="宋体" w:hAnsi="宋体" w:eastAsia="宋体"/>
                <w:b w:val="0"/>
                <w:sz w:val="17"/>
              </w:rPr>
              <w:t>-10.3%</w:t>
            </w:r>
          </w:p>
        </w:tc>
        <w:tc>
          <w:tcPr>
            <w:tcW w:type="dxa" w:w="864"/>
          </w:tcPr>
          <w:p>
            <w:pPr>
              <w:spacing w:before="0" w:after="0"/>
              <w:jc w:val="center"/>
            </w:pPr>
            <w:r>
              <w:rPr>
                <w:rFonts w:ascii="宋体" w:hAnsi="宋体" w:eastAsia="宋体"/>
                <w:b w:val="0"/>
                <w:sz w:val="17"/>
              </w:rPr>
              <w:t>0.51</w:t>
            </w:r>
          </w:p>
        </w:tc>
        <w:tc>
          <w:tcPr>
            <w:tcW w:type="dxa" w:w="864"/>
          </w:tcPr>
          <w:p>
            <w:pPr>
              <w:spacing w:before="0" w:after="0"/>
              <w:jc w:val="center"/>
            </w:pPr>
            <w:r>
              <w:rPr>
                <w:rFonts w:ascii="宋体" w:hAnsi="宋体" w:eastAsia="宋体"/>
                <w:b w:val="0"/>
                <w:sz w:val="17"/>
              </w:rPr>
              <w:t>0.32</w:t>
            </w:r>
          </w:p>
        </w:tc>
        <w:tc>
          <w:tcPr>
            <w:tcW w:type="dxa" w:w="864"/>
          </w:tcPr>
          <w:p>
            <w:pPr>
              <w:spacing w:before="0" w:after="0"/>
              <w:jc w:val="center"/>
            </w:pPr>
            <w:r>
              <w:rPr>
                <w:rFonts w:ascii="宋体" w:hAnsi="宋体" w:eastAsia="宋体"/>
                <w:b w:val="0"/>
                <w:sz w:val="17"/>
              </w:rPr>
              <w:t>-16.7%</w:t>
            </w:r>
          </w:p>
        </w:tc>
        <w:tc>
          <w:tcPr>
            <w:tcW w:type="dxa" w:w="864"/>
          </w:tcPr>
          <w:p>
            <w:pPr>
              <w:spacing w:before="0" w:after="0"/>
              <w:jc w:val="center"/>
            </w:pPr>
            <w:r>
              <w:rPr>
                <w:rFonts w:ascii="宋体" w:hAnsi="宋体" w:eastAsia="宋体"/>
                <w:b w:val="0"/>
                <w:sz w:val="17"/>
              </w:rPr>
              <w:t>-30.5%</w:t>
            </w:r>
          </w:p>
        </w:tc>
        <w:tc>
          <w:tcPr>
            <w:tcW w:type="dxa" w:w="864"/>
          </w:tcPr>
          <w:p>
            <w:pPr>
              <w:spacing w:before="0" w:after="0"/>
              <w:jc w:val="center"/>
            </w:pPr>
            <w:r>
              <w:rPr>
                <w:rFonts w:ascii="宋体" w:hAnsi="宋体" w:eastAsia="宋体"/>
                <w:b w:val="0"/>
                <w:sz w:val="17"/>
              </w:rPr>
              <w:t>27</w:t>
            </w:r>
          </w:p>
        </w:tc>
        <w:tc>
          <w:tcPr>
            <w:tcW w:type="dxa" w:w="864"/>
          </w:tcPr>
          <w:p>
            <w:pPr>
              <w:spacing w:before="0" w:after="0"/>
              <w:jc w:val="center"/>
            </w:pPr>
            <w:r>
              <w:rPr>
                <w:rFonts w:ascii="宋体" w:hAnsi="宋体" w:eastAsia="宋体"/>
                <w:b w:val="0"/>
                <w:sz w:val="17"/>
              </w:rPr>
              <w:t>63%</w:t>
            </w:r>
          </w:p>
        </w:tc>
      </w:tr>
      <w:tr>
        <w:tc>
          <w:tcPr>
            <w:tcW w:type="dxa" w:w="864"/>
          </w:tcPr>
          <w:p>
            <w:pPr>
              <w:spacing w:before="0" w:after="0"/>
              <w:jc w:val="center"/>
            </w:pPr>
            <w:r>
              <w:rPr>
                <w:rFonts w:ascii="宋体" w:hAnsi="宋体" w:eastAsia="宋体"/>
                <w:b w:val="0"/>
                <w:sz w:val="17"/>
              </w:rPr>
              <w:t>长江电力</w:t>
            </w:r>
          </w:p>
        </w:tc>
        <w:tc>
          <w:tcPr>
            <w:tcW w:type="dxa" w:w="864"/>
          </w:tcPr>
          <w:p>
            <w:pPr>
              <w:spacing w:before="0" w:after="0"/>
              <w:jc w:val="center"/>
            </w:pPr>
            <w:r>
              <w:rPr>
                <w:rFonts w:ascii="宋体" w:hAnsi="宋体" w:eastAsia="宋体"/>
                <w:b w:val="0"/>
                <w:sz w:val="17"/>
              </w:rPr>
              <w:t>-1.4%</w:t>
            </w:r>
          </w:p>
        </w:tc>
        <w:tc>
          <w:tcPr>
            <w:tcW w:type="dxa" w:w="864"/>
          </w:tcPr>
          <w:p>
            <w:pPr>
              <w:spacing w:before="0" w:after="0"/>
              <w:jc w:val="center"/>
            </w:pPr>
            <w:r>
              <w:rPr>
                <w:rFonts w:ascii="宋体" w:hAnsi="宋体" w:eastAsia="宋体"/>
                <w:b w:val="0"/>
                <w:sz w:val="17"/>
              </w:rPr>
              <w:t>13.7%</w:t>
            </w:r>
          </w:p>
        </w:tc>
        <w:tc>
          <w:tcPr>
            <w:tcW w:type="dxa" w:w="864"/>
          </w:tcPr>
          <w:p>
            <w:pPr>
              <w:spacing w:before="0" w:after="0"/>
              <w:jc w:val="center"/>
            </w:pPr>
            <w:r>
              <w:rPr>
                <w:rFonts w:ascii="宋体" w:hAnsi="宋体" w:eastAsia="宋体"/>
                <w:b w:val="0"/>
                <w:sz w:val="17"/>
              </w:rPr>
              <w:t>-15.1%</w:t>
            </w:r>
          </w:p>
        </w:tc>
        <w:tc>
          <w:tcPr>
            <w:tcW w:type="dxa" w:w="864"/>
          </w:tcPr>
          <w:p>
            <w:pPr>
              <w:spacing w:before="0" w:after="0"/>
              <w:jc w:val="center"/>
            </w:pPr>
            <w:r>
              <w:rPr>
                <w:rFonts w:ascii="宋体" w:hAnsi="宋体" w:eastAsia="宋体"/>
                <w:b w:val="0"/>
                <w:sz w:val="17"/>
              </w:rPr>
              <w:t>-0.08</w:t>
            </w:r>
          </w:p>
        </w:tc>
        <w:tc>
          <w:tcPr>
            <w:tcW w:type="dxa" w:w="864"/>
          </w:tcPr>
          <w:p>
            <w:pPr>
              <w:spacing w:before="0" w:after="0"/>
              <w:jc w:val="center"/>
            </w:pPr>
            <w:r>
              <w:rPr>
                <w:rFonts w:ascii="宋体" w:hAnsi="宋体" w:eastAsia="宋体"/>
                <w:b w:val="0"/>
                <w:sz w:val="17"/>
              </w:rPr>
              <w:t>-0.04</w:t>
            </w:r>
          </w:p>
        </w:tc>
        <w:tc>
          <w:tcPr>
            <w:tcW w:type="dxa" w:w="864"/>
          </w:tcPr>
          <w:p>
            <w:pPr>
              <w:spacing w:before="0" w:after="0"/>
              <w:jc w:val="center"/>
            </w:pPr>
            <w:r>
              <w:rPr>
                <w:rFonts w:ascii="宋体" w:hAnsi="宋体" w:eastAsia="宋体"/>
                <w:b w:val="0"/>
                <w:sz w:val="17"/>
              </w:rPr>
              <w:t>-32.4%</w:t>
            </w:r>
          </w:p>
        </w:tc>
        <w:tc>
          <w:tcPr>
            <w:tcW w:type="dxa" w:w="864"/>
          </w:tcPr>
          <w:p>
            <w:pPr>
              <w:spacing w:before="0" w:after="0"/>
              <w:jc w:val="center"/>
            </w:pPr>
            <w:r>
              <w:rPr>
                <w:rFonts w:ascii="宋体" w:hAnsi="宋体" w:eastAsia="宋体"/>
                <w:b w:val="0"/>
                <w:sz w:val="17"/>
              </w:rPr>
              <w:t>-24.6%</w:t>
            </w:r>
          </w:p>
        </w:tc>
        <w:tc>
          <w:tcPr>
            <w:tcW w:type="dxa" w:w="864"/>
          </w:tcPr>
          <w:p>
            <w:pPr>
              <w:spacing w:before="0" w:after="0"/>
              <w:jc w:val="center"/>
            </w:pPr>
            <w:r>
              <w:rPr>
                <w:rFonts w:ascii="宋体" w:hAnsi="宋体" w:eastAsia="宋体"/>
                <w:b w:val="0"/>
                <w:sz w:val="17"/>
              </w:rPr>
              <w:t>21</w:t>
            </w:r>
          </w:p>
        </w:tc>
        <w:tc>
          <w:tcPr>
            <w:tcW w:type="dxa" w:w="864"/>
          </w:tcPr>
          <w:p>
            <w:pPr>
              <w:spacing w:before="0" w:after="0"/>
              <w:jc w:val="center"/>
            </w:pPr>
            <w:r>
              <w:rPr>
                <w:rFonts w:ascii="宋体" w:hAnsi="宋体" w:eastAsia="宋体"/>
                <w:b w:val="0"/>
                <w:sz w:val="17"/>
              </w:rPr>
              <w:t>48%</w:t>
            </w:r>
          </w:p>
        </w:tc>
      </w:tr>
      <w:tr>
        <w:tc>
          <w:tcPr>
            <w:tcW w:type="dxa" w:w="864"/>
          </w:tcPr>
          <w:p>
            <w:pPr>
              <w:spacing w:before="0" w:after="0"/>
              <w:jc w:val="center"/>
            </w:pPr>
            <w:r>
              <w:rPr>
                <w:rFonts w:ascii="宋体" w:hAnsi="宋体" w:eastAsia="宋体"/>
                <w:b w:val="0"/>
                <w:sz w:val="17"/>
              </w:rPr>
              <w:t>红利低波50ETF</w:t>
            </w:r>
          </w:p>
        </w:tc>
        <w:tc>
          <w:tcPr>
            <w:tcW w:type="dxa" w:w="864"/>
          </w:tcPr>
          <w:p>
            <w:pPr>
              <w:spacing w:before="0" w:after="0"/>
              <w:jc w:val="center"/>
            </w:pPr>
            <w:r>
              <w:rPr>
                <w:rFonts w:ascii="宋体" w:hAnsi="宋体" w:eastAsia="宋体"/>
                <w:b w:val="0"/>
                <w:sz w:val="17"/>
              </w:rPr>
              <w:t>-0.2%</w:t>
            </w:r>
          </w:p>
        </w:tc>
        <w:tc>
          <w:tcPr>
            <w:tcW w:type="dxa" w:w="864"/>
          </w:tcPr>
          <w:p>
            <w:pPr>
              <w:spacing w:before="0" w:after="0"/>
              <w:jc w:val="center"/>
            </w:pPr>
            <w:r>
              <w:rPr>
                <w:rFonts w:ascii="宋体" w:hAnsi="宋体" w:eastAsia="宋体"/>
                <w:b w:val="0"/>
                <w:sz w:val="17"/>
              </w:rPr>
              <w:t>15.5%</w:t>
            </w:r>
          </w:p>
        </w:tc>
        <w:tc>
          <w:tcPr>
            <w:tcW w:type="dxa" w:w="864"/>
          </w:tcPr>
          <w:p>
            <w:pPr>
              <w:spacing w:before="0" w:after="0"/>
              <w:jc w:val="center"/>
            </w:pPr>
            <w:r>
              <w:rPr>
                <w:rFonts w:ascii="宋体" w:hAnsi="宋体" w:eastAsia="宋体"/>
                <w:b w:val="0"/>
                <w:sz w:val="17"/>
              </w:rPr>
              <w:t>-15.6%</w:t>
            </w:r>
          </w:p>
        </w:tc>
        <w:tc>
          <w:tcPr>
            <w:tcW w:type="dxa" w:w="864"/>
          </w:tcPr>
          <w:p>
            <w:pPr>
              <w:spacing w:before="0" w:after="0"/>
              <w:jc w:val="center"/>
            </w:pPr>
            <w:r>
              <w:rPr>
                <w:rFonts w:ascii="宋体" w:hAnsi="宋体" w:eastAsia="宋体"/>
                <w:b w:val="0"/>
                <w:sz w:val="17"/>
              </w:rPr>
              <w:t>0.03</w:t>
            </w:r>
          </w:p>
        </w:tc>
        <w:tc>
          <w:tcPr>
            <w:tcW w:type="dxa" w:w="864"/>
          </w:tcPr>
          <w:p>
            <w:pPr>
              <w:spacing w:before="0" w:after="0"/>
              <w:jc w:val="center"/>
            </w:pPr>
            <w:r>
              <w:rPr>
                <w:rFonts w:ascii="宋体" w:hAnsi="宋体" w:eastAsia="宋体"/>
                <w:b w:val="0"/>
                <w:sz w:val="17"/>
              </w:rPr>
              <w:t>-0.01</w:t>
            </w:r>
          </w:p>
        </w:tc>
        <w:tc>
          <w:tcPr>
            <w:tcW w:type="dxa" w:w="864"/>
          </w:tcPr>
          <w:p>
            <w:pPr>
              <w:spacing w:before="0" w:after="0"/>
              <w:jc w:val="center"/>
            </w:pPr>
            <w:r>
              <w:rPr>
                <w:rFonts w:ascii="宋体" w:hAnsi="宋体" w:eastAsia="宋体"/>
                <w:b w:val="0"/>
                <w:sz w:val="17"/>
              </w:rPr>
              <w:t>-15.9%</w:t>
            </w:r>
          </w:p>
        </w:tc>
        <w:tc>
          <w:tcPr>
            <w:tcW w:type="dxa" w:w="864"/>
          </w:tcPr>
          <w:p>
            <w:pPr>
              <w:spacing w:before="0" w:after="0"/>
              <w:jc w:val="center"/>
            </w:pPr>
            <w:r>
              <w:rPr>
                <w:rFonts w:ascii="宋体" w:hAnsi="宋体" w:eastAsia="宋体"/>
                <w:b w:val="0"/>
                <w:sz w:val="17"/>
              </w:rPr>
              <w:t>-19.8%</w:t>
            </w:r>
          </w:p>
        </w:tc>
        <w:tc>
          <w:tcPr>
            <w:tcW w:type="dxa" w:w="864"/>
          </w:tcPr>
          <w:p>
            <w:pPr>
              <w:spacing w:before="0" w:after="0"/>
              <w:jc w:val="center"/>
            </w:pPr>
            <w:r>
              <w:rPr>
                <w:rFonts w:ascii="宋体" w:hAnsi="宋体" w:eastAsia="宋体"/>
                <w:b w:val="0"/>
                <w:sz w:val="17"/>
              </w:rPr>
              <w:t>18</w:t>
            </w:r>
          </w:p>
        </w:tc>
        <w:tc>
          <w:tcPr>
            <w:tcW w:type="dxa" w:w="864"/>
          </w:tcPr>
          <w:p>
            <w:pPr>
              <w:spacing w:before="0" w:after="0"/>
              <w:jc w:val="center"/>
            </w:pPr>
            <w:r>
              <w:rPr>
                <w:rFonts w:ascii="宋体" w:hAnsi="宋体" w:eastAsia="宋体"/>
                <w:b w:val="0"/>
                <w:sz w:val="17"/>
              </w:rPr>
              <w:t>44%</w:t>
            </w:r>
          </w:p>
        </w:tc>
      </w:tr>
      <w:tr>
        <w:tc>
          <w:tcPr>
            <w:tcW w:type="dxa" w:w="864"/>
          </w:tcPr>
          <w:p>
            <w:pPr>
              <w:spacing w:before="0" w:after="0"/>
              <w:jc w:val="center"/>
            </w:pPr>
            <w:r>
              <w:rPr>
                <w:rFonts w:ascii="宋体" w:hAnsi="宋体" w:eastAsia="宋体"/>
                <w:b w:val="0"/>
                <w:sz w:val="17"/>
              </w:rPr>
              <w:t>纳指ETF</w:t>
            </w:r>
          </w:p>
        </w:tc>
        <w:tc>
          <w:tcPr>
            <w:tcW w:type="dxa" w:w="864"/>
          </w:tcPr>
          <w:p>
            <w:pPr>
              <w:spacing w:before="0" w:after="0"/>
              <w:jc w:val="center"/>
            </w:pPr>
            <w:r>
              <w:rPr>
                <w:rFonts w:ascii="宋体" w:hAnsi="宋体" w:eastAsia="宋体"/>
                <w:b w:val="0"/>
                <w:sz w:val="17"/>
              </w:rPr>
              <w:t>0.5%</w:t>
            </w:r>
          </w:p>
        </w:tc>
        <w:tc>
          <w:tcPr>
            <w:tcW w:type="dxa" w:w="864"/>
          </w:tcPr>
          <w:p>
            <w:pPr>
              <w:spacing w:before="0" w:after="0"/>
              <w:jc w:val="center"/>
            </w:pPr>
            <w:r>
              <w:rPr>
                <w:rFonts w:ascii="宋体" w:hAnsi="宋体" w:eastAsia="宋体"/>
                <w:b w:val="0"/>
                <w:sz w:val="17"/>
              </w:rPr>
              <w:t>21.7%</w:t>
            </w:r>
          </w:p>
        </w:tc>
        <w:tc>
          <w:tcPr>
            <w:tcW w:type="dxa" w:w="864"/>
          </w:tcPr>
          <w:p>
            <w:pPr>
              <w:spacing w:before="0" w:after="0"/>
              <w:jc w:val="center"/>
            </w:pPr>
            <w:r>
              <w:rPr>
                <w:rFonts w:ascii="宋体" w:hAnsi="宋体" w:eastAsia="宋体"/>
                <w:b w:val="0"/>
                <w:sz w:val="17"/>
              </w:rPr>
              <w:t>-21.2%</w:t>
            </w:r>
          </w:p>
        </w:tc>
        <w:tc>
          <w:tcPr>
            <w:tcW w:type="dxa" w:w="864"/>
          </w:tcPr>
          <w:p>
            <w:pPr>
              <w:spacing w:before="0" w:after="0"/>
              <w:jc w:val="center"/>
            </w:pPr>
            <w:r>
              <w:rPr>
                <w:rFonts w:ascii="宋体" w:hAnsi="宋体" w:eastAsia="宋体"/>
                <w:b w:val="0"/>
                <w:sz w:val="17"/>
              </w:rPr>
              <w:t>0.11</w:t>
            </w:r>
          </w:p>
        </w:tc>
        <w:tc>
          <w:tcPr>
            <w:tcW w:type="dxa" w:w="864"/>
          </w:tcPr>
          <w:p>
            <w:pPr>
              <w:spacing w:before="0" w:after="0"/>
              <w:jc w:val="center"/>
            </w:pPr>
            <w:r>
              <w:rPr>
                <w:rFonts w:ascii="宋体" w:hAnsi="宋体" w:eastAsia="宋体"/>
                <w:b w:val="0"/>
                <w:sz w:val="17"/>
              </w:rPr>
              <w:t>0.01</w:t>
            </w:r>
          </w:p>
        </w:tc>
        <w:tc>
          <w:tcPr>
            <w:tcW w:type="dxa" w:w="864"/>
          </w:tcPr>
          <w:p>
            <w:pPr>
              <w:spacing w:before="0" w:after="0"/>
              <w:jc w:val="center"/>
            </w:pPr>
            <w:r>
              <w:rPr>
                <w:rFonts w:ascii="宋体" w:hAnsi="宋体" w:eastAsia="宋体"/>
                <w:b w:val="0"/>
                <w:sz w:val="17"/>
              </w:rPr>
              <w:t>-35.7%</w:t>
            </w:r>
          </w:p>
        </w:tc>
        <w:tc>
          <w:tcPr>
            <w:tcW w:type="dxa" w:w="864"/>
          </w:tcPr>
          <w:p>
            <w:pPr>
              <w:spacing w:before="0" w:after="0"/>
              <w:jc w:val="center"/>
            </w:pPr>
            <w:r>
              <w:rPr>
                <w:rFonts w:ascii="宋体" w:hAnsi="宋体" w:eastAsia="宋体"/>
                <w:b w:val="0"/>
                <w:sz w:val="17"/>
              </w:rPr>
              <w:t>-30.0%</w:t>
            </w:r>
          </w:p>
        </w:tc>
        <w:tc>
          <w:tcPr>
            <w:tcW w:type="dxa" w:w="864"/>
          </w:tcPr>
          <w:p>
            <w:pPr>
              <w:spacing w:before="0" w:after="0"/>
              <w:jc w:val="center"/>
            </w:pPr>
            <w:r>
              <w:rPr>
                <w:rFonts w:ascii="宋体" w:hAnsi="宋体" w:eastAsia="宋体"/>
                <w:b w:val="0"/>
                <w:sz w:val="17"/>
              </w:rPr>
              <w:t>28</w:t>
            </w:r>
          </w:p>
        </w:tc>
        <w:tc>
          <w:tcPr>
            <w:tcW w:type="dxa" w:w="864"/>
          </w:tcPr>
          <w:p>
            <w:pPr>
              <w:spacing w:before="0" w:after="0"/>
              <w:jc w:val="center"/>
            </w:pPr>
            <w:r>
              <w:rPr>
                <w:rFonts w:ascii="宋体" w:hAnsi="宋体" w:eastAsia="宋体"/>
                <w:b w:val="0"/>
                <w:sz w:val="17"/>
              </w:rPr>
              <w:t>46%</w:t>
            </w:r>
          </w:p>
        </w:tc>
      </w:tr>
    </w:tbl>
    <w:p>
      <w:pPr>
        <w:spacing w:line="360" w:lineRule="auto" w:before="0" w:after="0"/>
        <w:jc w:val="center"/>
      </w:pPr>
      <w:r>
        <w:drawing>
          <wp:inline xmlns:a="http://schemas.openxmlformats.org/drawingml/2006/main" xmlns:pic="http://schemas.openxmlformats.org/drawingml/2006/picture">
            <wp:extent cx="5577840" cy="2609815"/>
            <wp:docPr id="4" name="Picture 4"/>
            <wp:cNvGraphicFramePr>
              <a:graphicFrameLocks noChangeAspect="1"/>
            </wp:cNvGraphicFramePr>
            <a:graphic>
              <a:graphicData uri="http://schemas.openxmlformats.org/drawingml/2006/picture">
                <pic:pic>
                  <pic:nvPicPr>
                    <pic:cNvPr id="0" name="summary_excess.png"/>
                    <pic:cNvPicPr/>
                  </pic:nvPicPr>
                  <pic:blipFill>
                    <a:blip r:embed="rId12"/>
                    <a:stretch>
                      <a:fillRect/>
                    </a:stretch>
                  </pic:blipFill>
                  <pic:spPr>
                    <a:xfrm>
                      <a:off x="0" y="0"/>
                      <a:ext cx="5577840" cy="2609815"/>
                    </a:xfrm>
                    <a:prstGeom prst="rect"/>
                  </pic:spPr>
                </pic:pic>
              </a:graphicData>
            </a:graphic>
          </wp:inline>
        </w:drawing>
      </w:r>
    </w:p>
    <w:p>
      <w:pPr>
        <w:spacing w:line="360" w:lineRule="auto" w:before="0" w:after="0"/>
        <w:jc w:val="center"/>
      </w:pPr>
      <w:r>
        <w:rPr>
          <w:rFonts w:ascii="宋体" w:hAnsi="宋体" w:eastAsia="宋体"/>
          <w:b/>
          <w:sz w:val="18"/>
        </w:rPr>
        <w:t>图 4　各标的海龟策略（System2）超额年化收益对比</w:t>
      </w:r>
    </w:p>
    <w:p>
      <w:pPr>
        <w:spacing w:line="360" w:lineRule="auto" w:before="0" w:after="0"/>
        <w:ind w:firstLine="420"/>
        <w:jc w:val="both"/>
      </w:pPr>
      <w:r>
        <w:rPr>
          <w:rFonts w:ascii="宋体" w:hAnsi="宋体" w:eastAsia="宋体"/>
          <w:b w:val="0"/>
          <w:sz w:val="21"/>
        </w:rPr>
        <w:t>如表 2 与图 4，超额收益出现了鲜明分化，且与文献高度一致：腾讯控股（超额 +4.9%）与科创 50、沪深 300 等波动大、有明显趋势与深调的标的，海龟策略跑赢或追平买入持有；而黄金、纳指、长江电力、红利低波等“一路上涨少回调”或“低波动无趋势”的标的，海龟则跑输。其中腾讯控股是最佳范例——它 2021—2022 年经历过腰斩级暴跌，海龟在下跌初期即离场、成功规避，因此不仅超额转正，风险控制更是压倒性领先。</w:t>
      </w:r>
    </w:p>
    <w:p>
      <w:pPr>
        <w:spacing w:line="360" w:lineRule="auto" w:before="0" w:after="0"/>
        <w:ind w:firstLine="420"/>
        <w:jc w:val="left"/>
      </w:pPr>
      <w:r>
        <w:rPr>
          <w:rFonts w:ascii="宋体" w:hAnsi="宋体" w:eastAsia="宋体"/>
          <w:b/>
          <w:sz w:val="22"/>
        </w:rPr>
        <w:t>4. 海龟真正的价值：控制回撤</w:t>
      </w:r>
    </w:p>
    <w:p>
      <w:pPr>
        <w:spacing w:line="360" w:lineRule="auto" w:before="0" w:after="0"/>
        <w:ind w:firstLine="420"/>
        <w:jc w:val="both"/>
      </w:pPr>
      <w:r>
        <w:rPr>
          <w:rFonts w:ascii="宋体" w:hAnsi="宋体" w:eastAsia="宋体"/>
          <w:b w:val="0"/>
          <w:sz w:val="21"/>
        </w:rPr>
        <w:t>若只看收益，容易低估海龟。把视角切到风险维度（图 5，策略 vs 买入持有最大回撤），结论截然不同。</w:t>
      </w:r>
    </w:p>
    <w:p>
      <w:pPr>
        <w:spacing w:line="360" w:lineRule="auto" w:before="0" w:after="0"/>
        <w:jc w:val="center"/>
      </w:pPr>
      <w:r>
        <w:drawing>
          <wp:inline xmlns:a="http://schemas.openxmlformats.org/drawingml/2006/main" xmlns:pic="http://schemas.openxmlformats.org/drawingml/2006/picture">
            <wp:extent cx="5577840" cy="2609815"/>
            <wp:docPr id="5" name="Picture 5"/>
            <wp:cNvGraphicFramePr>
              <a:graphicFrameLocks noChangeAspect="1"/>
            </wp:cNvGraphicFramePr>
            <a:graphic>
              <a:graphicData uri="http://schemas.openxmlformats.org/drawingml/2006/picture">
                <pic:pic>
                  <pic:nvPicPr>
                    <pic:cNvPr id="0" name="risk_compare.png"/>
                    <pic:cNvPicPr/>
                  </pic:nvPicPr>
                  <pic:blipFill>
                    <a:blip r:embed="rId13"/>
                    <a:stretch>
                      <a:fillRect/>
                    </a:stretch>
                  </pic:blipFill>
                  <pic:spPr>
                    <a:xfrm>
                      <a:off x="0" y="0"/>
                      <a:ext cx="5577840" cy="2609815"/>
                    </a:xfrm>
                    <a:prstGeom prst="rect"/>
                  </pic:spPr>
                </pic:pic>
              </a:graphicData>
            </a:graphic>
          </wp:inline>
        </w:drawing>
      </w:r>
    </w:p>
    <w:p>
      <w:pPr>
        <w:spacing w:line="360" w:lineRule="auto" w:before="0" w:after="0"/>
        <w:jc w:val="center"/>
      </w:pPr>
      <w:r>
        <w:rPr>
          <w:rFonts w:ascii="宋体" w:hAnsi="宋体" w:eastAsia="宋体"/>
          <w:b/>
          <w:sz w:val="18"/>
        </w:rPr>
        <w:t>图 5　海龟策略 vs 买入持有：最大回撤对比（System2，越低越好）</w:t>
      </w:r>
    </w:p>
    <w:p>
      <w:pPr>
        <w:spacing w:line="360" w:lineRule="auto" w:before="0" w:after="0"/>
        <w:ind w:firstLine="420"/>
        <w:jc w:val="both"/>
      </w:pPr>
      <w:r>
        <w:rPr>
          <w:rFonts w:ascii="宋体" w:hAnsi="宋体" w:eastAsia="宋体"/>
          <w:b w:val="0"/>
          <w:sz w:val="21"/>
        </w:rPr>
        <w:t>如图 5，在高波动标的上海龟策略大幅削减了回撤：腾讯控股从买入持有的 76.7% 压降到 21.0%，科创 50 从 59.9% 降到 16.5%，沪深 300 从 44.7% 降到 19.5%，中证 500 从 40.7% 降到 23.8%。也就是说，策略往往用“少赚一点”换来了“回撤浅一大截、持有体验平稳得多”。唯一例外是低波动的长江电力——它本无明显趋势可供跟踪，择时失误反而略增回撤，印证了“低波动无趋势标的不适合海龟”。</w:t>
      </w:r>
    </w:p>
    <w:p>
      <w:pPr>
        <w:spacing w:line="360" w:lineRule="auto" w:before="0" w:after="0"/>
        <w:jc w:val="center"/>
      </w:pPr>
      <w:r>
        <w:drawing>
          <wp:inline xmlns:a="http://schemas.openxmlformats.org/drawingml/2006/main" xmlns:pic="http://schemas.openxmlformats.org/drawingml/2006/picture">
            <wp:extent cx="4206240" cy="4534852"/>
            <wp:docPr id="6" name="Picture 6"/>
            <wp:cNvGraphicFramePr>
              <a:graphicFrameLocks noChangeAspect="1"/>
            </wp:cNvGraphicFramePr>
            <a:graphic>
              <a:graphicData uri="http://schemas.openxmlformats.org/drawingml/2006/picture">
                <pic:pic>
                  <pic:nvPicPr>
                    <pic:cNvPr id="0" name="sharpe_compare.png"/>
                    <pic:cNvPicPr/>
                  </pic:nvPicPr>
                  <pic:blipFill>
                    <a:blip r:embed="rId14"/>
                    <a:stretch>
                      <a:fillRect/>
                    </a:stretch>
                  </pic:blipFill>
                  <pic:spPr>
                    <a:xfrm>
                      <a:off x="0" y="0"/>
                      <a:ext cx="4206240" cy="4534852"/>
                    </a:xfrm>
                    <a:prstGeom prst="rect"/>
                  </pic:spPr>
                </pic:pic>
              </a:graphicData>
            </a:graphic>
          </wp:inline>
        </w:drawing>
      </w:r>
    </w:p>
    <w:p>
      <w:pPr>
        <w:spacing w:line="360" w:lineRule="auto" w:before="0" w:after="0"/>
        <w:jc w:val="center"/>
      </w:pPr>
      <w:r>
        <w:rPr>
          <w:rFonts w:ascii="宋体" w:hAnsi="宋体" w:eastAsia="宋体"/>
          <w:b/>
          <w:sz w:val="18"/>
        </w:rPr>
        <w:t>图 6　8 标的 × 2 系统 夏普比率热力图（红高绿低）</w:t>
      </w:r>
    </w:p>
    <w:p>
      <w:pPr>
        <w:spacing w:line="360" w:lineRule="auto" w:before="0" w:after="0"/>
        <w:ind w:firstLine="420"/>
        <w:jc w:val="both"/>
      </w:pPr>
      <w:r>
        <w:rPr>
          <w:rFonts w:ascii="宋体" w:hAnsi="宋体" w:eastAsia="宋体"/>
          <w:b w:val="0"/>
          <w:sz w:val="21"/>
        </w:rPr>
        <w:t>图 6 的夏普比率（风险调整后收益）进一步佐证：科创 50、腾讯控股、黄金 ETF 大面积偏红（夏普 0.5—0.58，全样本最高），是最适合海龟策略的标的；而长江电力、红利低波则偏绿（夏普接近 0 甚至为负），风险调整后性价比很差。这与“趋势/波动越强越适合海龟”的规律一致。</w:t>
      </w:r>
    </w:p>
    <w:p>
      <w:pPr>
        <w:spacing w:line="360" w:lineRule="auto" w:before="0" w:after="0"/>
        <w:jc w:val="center"/>
      </w:pPr>
      <w:r>
        <w:drawing>
          <wp:inline xmlns:a="http://schemas.openxmlformats.org/drawingml/2006/main" xmlns:pic="http://schemas.openxmlformats.org/drawingml/2006/picture">
            <wp:extent cx="5212080" cy="2977851"/>
            <wp:docPr id="7" name="Picture 7"/>
            <wp:cNvGraphicFramePr>
              <a:graphicFrameLocks noChangeAspect="1"/>
            </wp:cNvGraphicFramePr>
            <a:graphic>
              <a:graphicData uri="http://schemas.openxmlformats.org/drawingml/2006/picture">
                <pic:pic>
                  <pic:nvPicPr>
                    <pic:cNvPr id="0" name="return_risk.png"/>
                    <pic:cNvPicPr/>
                  </pic:nvPicPr>
                  <pic:blipFill>
                    <a:blip r:embed="rId15"/>
                    <a:stretch>
                      <a:fillRect/>
                    </a:stretch>
                  </pic:blipFill>
                  <pic:spPr>
                    <a:xfrm>
                      <a:off x="0" y="0"/>
                      <a:ext cx="5212080" cy="2977851"/>
                    </a:xfrm>
                    <a:prstGeom prst="rect"/>
                  </pic:spPr>
                </pic:pic>
              </a:graphicData>
            </a:graphic>
          </wp:inline>
        </w:drawing>
      </w:r>
    </w:p>
    <w:p>
      <w:pPr>
        <w:spacing w:line="360" w:lineRule="auto" w:before="0" w:after="0"/>
        <w:jc w:val="center"/>
      </w:pPr>
      <w:r>
        <w:rPr>
          <w:rFonts w:ascii="宋体" w:hAnsi="宋体" w:eastAsia="宋体"/>
          <w:b/>
          <w:sz w:val="18"/>
        </w:rPr>
        <w:t>图 7　海龟策略收益—回撤分布（红=跑赢基准 绿=跑输，●系统1 ■系统2）</w:t>
      </w:r>
    </w:p>
    <w:p>
      <w:pPr>
        <w:spacing w:line="360" w:lineRule="auto" w:before="0" w:after="0"/>
        <w:ind w:firstLine="420"/>
        <w:jc w:val="both"/>
      </w:pPr>
      <w:r>
        <w:rPr>
          <w:rFonts w:ascii="宋体" w:hAnsi="宋体" w:eastAsia="宋体"/>
          <w:b w:val="0"/>
          <w:sz w:val="21"/>
        </w:rPr>
        <w:t>图 7 把 16 组结果画到“收益—回撤”平面：绝大多数点集中在左侧（回撤 15%—25%），说明海龟策略把各标的的回撤都压到了相近的较低水平——这正是 ATR 头寸管理“波动率平价”的效果，无论标的本身多凶，策略回撤都被控制在可控区间。红点（跑赢基准）多为高波动趋势标的，绿点（跑输）多为长牛或低波动标的。</w:t>
      </w:r>
    </w:p>
    <w:p>
      <w:pPr>
        <w:spacing w:line="360" w:lineRule="auto" w:before="0" w:after="0"/>
        <w:jc w:val="left"/>
      </w:pPr>
      <w:r>
        <w:rPr>
          <w:rFonts w:ascii="宋体" w:hAnsi="宋体" w:eastAsia="宋体"/>
          <w:b/>
          <w:sz w:val="26"/>
        </w:rPr>
        <w:t>七、参数调节与敏感性分析</w:t>
      </w:r>
    </w:p>
    <w:p>
      <w:pPr>
        <w:spacing w:line="360" w:lineRule="auto" w:before="0" w:after="0"/>
        <w:ind w:firstLine="420"/>
        <w:jc w:val="both"/>
      </w:pPr>
      <w:r>
        <w:rPr>
          <w:rFonts w:ascii="宋体" w:hAnsi="宋体" w:eastAsia="宋体"/>
          <w:b w:val="0"/>
          <w:sz w:val="21"/>
        </w:rPr>
        <w:t>按任务要求，本文进一步调节核心参数（标的类型、通道周期），观察收益变化。图 8 以黄金 ETF 为例，将入场通道周期从 10 日逐步拉长到 80 日（离场周期取其一半），观察年化收益、夏普与最大回撤的变化。</w:t>
      </w:r>
    </w:p>
    <w:p>
      <w:pPr>
        <w:spacing w:line="360" w:lineRule="auto" w:before="0" w:after="0"/>
        <w:jc w:val="center"/>
      </w:pPr>
      <w:r>
        <w:drawing>
          <wp:inline xmlns:a="http://schemas.openxmlformats.org/drawingml/2006/main" xmlns:pic="http://schemas.openxmlformats.org/drawingml/2006/picture">
            <wp:extent cx="5577840" cy="2735287"/>
            <wp:docPr id="8" name="Picture 8"/>
            <wp:cNvGraphicFramePr>
              <a:graphicFrameLocks noChangeAspect="1"/>
            </wp:cNvGraphicFramePr>
            <a:graphic>
              <a:graphicData uri="http://schemas.openxmlformats.org/drawingml/2006/picture">
                <pic:pic>
                  <pic:nvPicPr>
                    <pic:cNvPr id="0" name="param_scan.png"/>
                    <pic:cNvPicPr/>
                  </pic:nvPicPr>
                  <pic:blipFill>
                    <a:blip r:embed="rId16"/>
                    <a:stretch>
                      <a:fillRect/>
                    </a:stretch>
                  </pic:blipFill>
                  <pic:spPr>
                    <a:xfrm>
                      <a:off x="0" y="0"/>
                      <a:ext cx="5577840" cy="2735287"/>
                    </a:xfrm>
                    <a:prstGeom prst="rect"/>
                  </pic:spPr>
                </pic:pic>
              </a:graphicData>
            </a:graphic>
          </wp:inline>
        </w:drawing>
      </w:r>
    </w:p>
    <w:p>
      <w:pPr>
        <w:spacing w:line="360" w:lineRule="auto" w:before="0" w:after="0"/>
        <w:jc w:val="center"/>
      </w:pPr>
      <w:r>
        <w:rPr>
          <w:rFonts w:ascii="宋体" w:hAnsi="宋体" w:eastAsia="宋体"/>
          <w:b/>
          <w:sz w:val="18"/>
        </w:rPr>
        <w:t>图 8　黄金 ETF 通道周期敏感性（周期越长交易越少、越稳）</w:t>
      </w:r>
    </w:p>
    <w:p>
      <w:pPr>
        <w:spacing w:line="360" w:lineRule="auto" w:before="0" w:after="0"/>
        <w:jc w:val="center"/>
      </w:pPr>
      <w:r>
        <w:rPr>
          <w:rFonts w:ascii="宋体" w:hAnsi="宋体" w:eastAsia="宋体"/>
          <w:b/>
          <w:sz w:val="18"/>
        </w:rPr>
        <w:t>表 3　黄金 ETF 不同通道周期回测结果</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宋体" w:hAnsi="宋体" w:eastAsia="宋体"/>
                <w:b/>
                <w:sz w:val="17"/>
              </w:rPr>
              <w:t>入场/离场周期</w:t>
            </w:r>
          </w:p>
        </w:tc>
        <w:tc>
          <w:tcPr>
            <w:tcW w:type="dxa" w:w="1440"/>
          </w:tcPr>
          <w:p>
            <w:pPr>
              <w:jc w:val="center"/>
            </w:pPr>
            <w:r>
              <w:rPr>
                <w:rFonts w:ascii="宋体" w:hAnsi="宋体" w:eastAsia="宋体"/>
                <w:b/>
                <w:sz w:val="17"/>
              </w:rPr>
              <w:t>年化收益</w:t>
            </w:r>
          </w:p>
        </w:tc>
        <w:tc>
          <w:tcPr>
            <w:tcW w:type="dxa" w:w="1440"/>
          </w:tcPr>
          <w:p>
            <w:pPr>
              <w:jc w:val="center"/>
            </w:pPr>
            <w:r>
              <w:rPr>
                <w:rFonts w:ascii="宋体" w:hAnsi="宋体" w:eastAsia="宋体"/>
                <w:b/>
                <w:sz w:val="17"/>
              </w:rPr>
              <w:t>夏普</w:t>
            </w:r>
          </w:p>
        </w:tc>
        <w:tc>
          <w:tcPr>
            <w:tcW w:type="dxa" w:w="1440"/>
          </w:tcPr>
          <w:p>
            <w:pPr>
              <w:jc w:val="center"/>
            </w:pPr>
            <w:r>
              <w:rPr>
                <w:rFonts w:ascii="宋体" w:hAnsi="宋体" w:eastAsia="宋体"/>
                <w:b/>
                <w:sz w:val="17"/>
              </w:rPr>
              <w:t>最大回撤</w:t>
            </w:r>
          </w:p>
        </w:tc>
        <w:tc>
          <w:tcPr>
            <w:tcW w:type="dxa" w:w="1440"/>
          </w:tcPr>
          <w:p>
            <w:pPr>
              <w:jc w:val="center"/>
            </w:pPr>
            <w:r>
              <w:rPr>
                <w:rFonts w:ascii="宋体" w:hAnsi="宋体" w:eastAsia="宋体"/>
                <w:b/>
                <w:sz w:val="17"/>
              </w:rPr>
              <w:t>交易次数</w:t>
            </w:r>
          </w:p>
        </w:tc>
        <w:tc>
          <w:tcPr>
            <w:tcW w:type="dxa" w:w="1440"/>
          </w:tcPr>
          <w:p>
            <w:pPr>
              <w:jc w:val="center"/>
            </w:pPr>
            <w:r>
              <w:rPr>
                <w:rFonts w:ascii="宋体" w:hAnsi="宋体" w:eastAsia="宋体"/>
                <w:b/>
                <w:sz w:val="17"/>
              </w:rPr>
              <w:t>胜率</w:t>
            </w:r>
          </w:p>
        </w:tc>
      </w:tr>
      <w:tr>
        <w:tc>
          <w:tcPr>
            <w:tcW w:type="dxa" w:w="1440"/>
          </w:tcPr>
          <w:p>
            <w:pPr>
              <w:spacing w:before="0" w:after="0"/>
              <w:jc w:val="center"/>
            </w:pPr>
            <w:r>
              <w:rPr>
                <w:rFonts w:ascii="宋体" w:hAnsi="宋体" w:eastAsia="宋体"/>
                <w:b w:val="0"/>
                <w:sz w:val="17"/>
              </w:rPr>
              <w:t>10/5</w:t>
            </w:r>
          </w:p>
        </w:tc>
        <w:tc>
          <w:tcPr>
            <w:tcW w:type="dxa" w:w="1440"/>
          </w:tcPr>
          <w:p>
            <w:pPr>
              <w:spacing w:before="0" w:after="0"/>
              <w:jc w:val="center"/>
            </w:pPr>
            <w:r>
              <w:rPr>
                <w:rFonts w:ascii="宋体" w:hAnsi="宋体" w:eastAsia="宋体"/>
                <w:b w:val="0"/>
                <w:sz w:val="17"/>
              </w:rPr>
              <w:t>2.9%</w:t>
            </w:r>
          </w:p>
        </w:tc>
        <w:tc>
          <w:tcPr>
            <w:tcW w:type="dxa" w:w="1440"/>
          </w:tcPr>
          <w:p>
            <w:pPr>
              <w:spacing w:before="0" w:after="0"/>
              <w:jc w:val="center"/>
            </w:pPr>
            <w:r>
              <w:rPr>
                <w:rFonts w:ascii="宋体" w:hAnsi="宋体" w:eastAsia="宋体"/>
                <w:b w:val="0"/>
                <w:sz w:val="17"/>
              </w:rPr>
              <w:t>0.33</w:t>
            </w:r>
          </w:p>
        </w:tc>
        <w:tc>
          <w:tcPr>
            <w:tcW w:type="dxa" w:w="1440"/>
          </w:tcPr>
          <w:p>
            <w:pPr>
              <w:spacing w:before="0" w:after="0"/>
              <w:jc w:val="center"/>
            </w:pPr>
            <w:r>
              <w:rPr>
                <w:rFonts w:ascii="宋体" w:hAnsi="宋体" w:eastAsia="宋体"/>
                <w:b w:val="0"/>
                <w:sz w:val="17"/>
              </w:rPr>
              <w:t>-18.4%</w:t>
            </w:r>
          </w:p>
        </w:tc>
        <w:tc>
          <w:tcPr>
            <w:tcW w:type="dxa" w:w="1440"/>
          </w:tcPr>
          <w:p>
            <w:pPr>
              <w:spacing w:before="0" w:after="0"/>
              <w:jc w:val="center"/>
            </w:pPr>
            <w:r>
              <w:rPr>
                <w:rFonts w:ascii="宋体" w:hAnsi="宋体" w:eastAsia="宋体"/>
                <w:b w:val="0"/>
                <w:sz w:val="17"/>
              </w:rPr>
              <w:t>74</w:t>
            </w:r>
          </w:p>
        </w:tc>
        <w:tc>
          <w:tcPr>
            <w:tcW w:type="dxa" w:w="1440"/>
          </w:tcPr>
          <w:p>
            <w:pPr>
              <w:spacing w:before="0" w:after="0"/>
              <w:jc w:val="center"/>
            </w:pPr>
            <w:r>
              <w:rPr>
                <w:rFonts w:ascii="宋体" w:hAnsi="宋体" w:eastAsia="宋体"/>
                <w:b w:val="0"/>
                <w:sz w:val="17"/>
              </w:rPr>
              <w:t>39%</w:t>
            </w:r>
          </w:p>
        </w:tc>
      </w:tr>
      <w:tr>
        <w:tc>
          <w:tcPr>
            <w:tcW w:type="dxa" w:w="1440"/>
          </w:tcPr>
          <w:p>
            <w:pPr>
              <w:spacing w:before="0" w:after="0"/>
              <w:jc w:val="center"/>
            </w:pPr>
            <w:r>
              <w:rPr>
                <w:rFonts w:ascii="宋体" w:hAnsi="宋体" w:eastAsia="宋体"/>
                <w:b w:val="0"/>
                <w:sz w:val="17"/>
              </w:rPr>
              <w:t>20/10</w:t>
            </w:r>
          </w:p>
        </w:tc>
        <w:tc>
          <w:tcPr>
            <w:tcW w:type="dxa" w:w="1440"/>
          </w:tcPr>
          <w:p>
            <w:pPr>
              <w:spacing w:before="0" w:after="0"/>
              <w:jc w:val="center"/>
            </w:pPr>
            <w:r>
              <w:rPr>
                <w:rFonts w:ascii="宋体" w:hAnsi="宋体" w:eastAsia="宋体"/>
                <w:b w:val="0"/>
                <w:sz w:val="17"/>
              </w:rPr>
              <w:t>4.0%</w:t>
            </w:r>
          </w:p>
        </w:tc>
        <w:tc>
          <w:tcPr>
            <w:tcW w:type="dxa" w:w="1440"/>
          </w:tcPr>
          <w:p>
            <w:pPr>
              <w:spacing w:before="0" w:after="0"/>
              <w:jc w:val="center"/>
            </w:pPr>
            <w:r>
              <w:rPr>
                <w:rFonts w:ascii="宋体" w:hAnsi="宋体" w:eastAsia="宋体"/>
                <w:b w:val="0"/>
                <w:sz w:val="17"/>
              </w:rPr>
              <w:t>0.43</w:t>
            </w:r>
          </w:p>
        </w:tc>
        <w:tc>
          <w:tcPr>
            <w:tcW w:type="dxa" w:w="1440"/>
          </w:tcPr>
          <w:p>
            <w:pPr>
              <w:spacing w:before="0" w:after="0"/>
              <w:jc w:val="center"/>
            </w:pPr>
            <w:r>
              <w:rPr>
                <w:rFonts w:ascii="宋体" w:hAnsi="宋体" w:eastAsia="宋体"/>
                <w:b w:val="0"/>
                <w:sz w:val="17"/>
              </w:rPr>
              <w:t>-16.8%</w:t>
            </w:r>
          </w:p>
        </w:tc>
        <w:tc>
          <w:tcPr>
            <w:tcW w:type="dxa" w:w="1440"/>
          </w:tcPr>
          <w:p>
            <w:pPr>
              <w:spacing w:before="0" w:after="0"/>
              <w:jc w:val="center"/>
            </w:pPr>
            <w:r>
              <w:rPr>
                <w:rFonts w:ascii="宋体" w:hAnsi="宋体" w:eastAsia="宋体"/>
                <w:b w:val="0"/>
                <w:sz w:val="17"/>
              </w:rPr>
              <w:t>44</w:t>
            </w:r>
          </w:p>
        </w:tc>
        <w:tc>
          <w:tcPr>
            <w:tcW w:type="dxa" w:w="1440"/>
          </w:tcPr>
          <w:p>
            <w:pPr>
              <w:spacing w:before="0" w:after="0"/>
              <w:jc w:val="center"/>
            </w:pPr>
            <w:r>
              <w:rPr>
                <w:rFonts w:ascii="宋体" w:hAnsi="宋体" w:eastAsia="宋体"/>
                <w:b w:val="0"/>
                <w:sz w:val="17"/>
              </w:rPr>
              <w:t>55%</w:t>
            </w:r>
          </w:p>
        </w:tc>
      </w:tr>
      <w:tr>
        <w:tc>
          <w:tcPr>
            <w:tcW w:type="dxa" w:w="1440"/>
          </w:tcPr>
          <w:p>
            <w:pPr>
              <w:spacing w:before="0" w:after="0"/>
              <w:jc w:val="center"/>
            </w:pPr>
            <w:r>
              <w:rPr>
                <w:rFonts w:ascii="宋体" w:hAnsi="宋体" w:eastAsia="宋体"/>
                <w:b w:val="0"/>
                <w:sz w:val="17"/>
              </w:rPr>
              <w:t>30/15</w:t>
            </w:r>
          </w:p>
        </w:tc>
        <w:tc>
          <w:tcPr>
            <w:tcW w:type="dxa" w:w="1440"/>
          </w:tcPr>
          <w:p>
            <w:pPr>
              <w:spacing w:before="0" w:after="0"/>
              <w:jc w:val="center"/>
            </w:pPr>
            <w:r>
              <w:rPr>
                <w:rFonts w:ascii="宋体" w:hAnsi="宋体" w:eastAsia="宋体"/>
                <w:b w:val="0"/>
                <w:sz w:val="17"/>
              </w:rPr>
              <w:t>6.8%</w:t>
            </w:r>
          </w:p>
        </w:tc>
        <w:tc>
          <w:tcPr>
            <w:tcW w:type="dxa" w:w="1440"/>
          </w:tcPr>
          <w:p>
            <w:pPr>
              <w:spacing w:before="0" w:after="0"/>
              <w:jc w:val="center"/>
            </w:pPr>
            <w:r>
              <w:rPr>
                <w:rFonts w:ascii="宋体" w:hAnsi="宋体" w:eastAsia="宋体"/>
                <w:b w:val="0"/>
                <w:sz w:val="17"/>
              </w:rPr>
              <w:t>0.62</w:t>
            </w:r>
          </w:p>
        </w:tc>
        <w:tc>
          <w:tcPr>
            <w:tcW w:type="dxa" w:w="1440"/>
          </w:tcPr>
          <w:p>
            <w:pPr>
              <w:spacing w:before="0" w:after="0"/>
              <w:jc w:val="center"/>
            </w:pPr>
            <w:r>
              <w:rPr>
                <w:rFonts w:ascii="宋体" w:hAnsi="宋体" w:eastAsia="宋体"/>
                <w:b w:val="0"/>
                <w:sz w:val="17"/>
              </w:rPr>
              <w:t>-16.7%</w:t>
            </w:r>
          </w:p>
        </w:tc>
        <w:tc>
          <w:tcPr>
            <w:tcW w:type="dxa" w:w="1440"/>
          </w:tcPr>
          <w:p>
            <w:pPr>
              <w:spacing w:before="0" w:after="0"/>
              <w:jc w:val="center"/>
            </w:pPr>
            <w:r>
              <w:rPr>
                <w:rFonts w:ascii="宋体" w:hAnsi="宋体" w:eastAsia="宋体"/>
                <w:b w:val="0"/>
                <w:sz w:val="17"/>
              </w:rPr>
              <w:t>29</w:t>
            </w:r>
          </w:p>
        </w:tc>
        <w:tc>
          <w:tcPr>
            <w:tcW w:type="dxa" w:w="1440"/>
          </w:tcPr>
          <w:p>
            <w:pPr>
              <w:spacing w:before="0" w:after="0"/>
              <w:jc w:val="center"/>
            </w:pPr>
            <w:r>
              <w:rPr>
                <w:rFonts w:ascii="宋体" w:hAnsi="宋体" w:eastAsia="宋体"/>
                <w:b w:val="0"/>
                <w:sz w:val="17"/>
              </w:rPr>
              <w:t>69%</w:t>
            </w:r>
          </w:p>
        </w:tc>
      </w:tr>
      <w:tr>
        <w:tc>
          <w:tcPr>
            <w:tcW w:type="dxa" w:w="1440"/>
          </w:tcPr>
          <w:p>
            <w:pPr>
              <w:spacing w:before="0" w:after="0"/>
              <w:jc w:val="center"/>
            </w:pPr>
            <w:r>
              <w:rPr>
                <w:rFonts w:ascii="宋体" w:hAnsi="宋体" w:eastAsia="宋体"/>
                <w:b w:val="0"/>
                <w:sz w:val="17"/>
              </w:rPr>
              <w:t>40/20</w:t>
            </w:r>
          </w:p>
        </w:tc>
        <w:tc>
          <w:tcPr>
            <w:tcW w:type="dxa" w:w="1440"/>
          </w:tcPr>
          <w:p>
            <w:pPr>
              <w:spacing w:before="0" w:after="0"/>
              <w:jc w:val="center"/>
            </w:pPr>
            <w:r>
              <w:rPr>
                <w:rFonts w:ascii="宋体" w:hAnsi="宋体" w:eastAsia="宋体"/>
                <w:b w:val="0"/>
                <w:sz w:val="17"/>
              </w:rPr>
              <w:t>5.9%</w:t>
            </w:r>
          </w:p>
        </w:tc>
        <w:tc>
          <w:tcPr>
            <w:tcW w:type="dxa" w:w="1440"/>
          </w:tcPr>
          <w:p>
            <w:pPr>
              <w:spacing w:before="0" w:after="0"/>
              <w:jc w:val="center"/>
            </w:pPr>
            <w:r>
              <w:rPr>
                <w:rFonts w:ascii="宋体" w:hAnsi="宋体" w:eastAsia="宋体"/>
                <w:b w:val="0"/>
                <w:sz w:val="17"/>
              </w:rPr>
              <w:t>0.54</w:t>
            </w:r>
          </w:p>
        </w:tc>
        <w:tc>
          <w:tcPr>
            <w:tcW w:type="dxa" w:w="1440"/>
          </w:tcPr>
          <w:p>
            <w:pPr>
              <w:spacing w:before="0" w:after="0"/>
              <w:jc w:val="center"/>
            </w:pPr>
            <w:r>
              <w:rPr>
                <w:rFonts w:ascii="宋体" w:hAnsi="宋体" w:eastAsia="宋体"/>
                <w:b w:val="0"/>
                <w:sz w:val="17"/>
              </w:rPr>
              <w:t>-16.7%</w:t>
            </w:r>
          </w:p>
        </w:tc>
        <w:tc>
          <w:tcPr>
            <w:tcW w:type="dxa" w:w="1440"/>
          </w:tcPr>
          <w:p>
            <w:pPr>
              <w:spacing w:before="0" w:after="0"/>
              <w:jc w:val="center"/>
            </w:pPr>
            <w:r>
              <w:rPr>
                <w:rFonts w:ascii="宋体" w:hAnsi="宋体" w:eastAsia="宋体"/>
                <w:b w:val="0"/>
                <w:sz w:val="17"/>
              </w:rPr>
              <w:t>28</w:t>
            </w:r>
          </w:p>
        </w:tc>
        <w:tc>
          <w:tcPr>
            <w:tcW w:type="dxa" w:w="1440"/>
          </w:tcPr>
          <w:p>
            <w:pPr>
              <w:spacing w:before="0" w:after="0"/>
              <w:jc w:val="center"/>
            </w:pPr>
            <w:r>
              <w:rPr>
                <w:rFonts w:ascii="宋体" w:hAnsi="宋体" w:eastAsia="宋体"/>
                <w:b w:val="0"/>
                <w:sz w:val="17"/>
              </w:rPr>
              <w:t>68%</w:t>
            </w:r>
          </w:p>
        </w:tc>
      </w:tr>
      <w:tr>
        <w:tc>
          <w:tcPr>
            <w:tcW w:type="dxa" w:w="1440"/>
          </w:tcPr>
          <w:p>
            <w:pPr>
              <w:spacing w:before="0" w:after="0"/>
              <w:jc w:val="center"/>
            </w:pPr>
            <w:r>
              <w:rPr>
                <w:rFonts w:ascii="宋体" w:hAnsi="宋体" w:eastAsia="宋体"/>
                <w:b w:val="0"/>
                <w:sz w:val="17"/>
              </w:rPr>
              <w:t>55/27</w:t>
            </w:r>
          </w:p>
        </w:tc>
        <w:tc>
          <w:tcPr>
            <w:tcW w:type="dxa" w:w="1440"/>
          </w:tcPr>
          <w:p>
            <w:pPr>
              <w:spacing w:before="0" w:after="0"/>
              <w:jc w:val="center"/>
            </w:pPr>
            <w:r>
              <w:rPr>
                <w:rFonts w:ascii="宋体" w:hAnsi="宋体" w:eastAsia="宋体"/>
                <w:b w:val="0"/>
                <w:sz w:val="17"/>
              </w:rPr>
              <w:t>9.7%</w:t>
            </w:r>
          </w:p>
        </w:tc>
        <w:tc>
          <w:tcPr>
            <w:tcW w:type="dxa" w:w="1440"/>
          </w:tcPr>
          <w:p>
            <w:pPr>
              <w:spacing w:before="0" w:after="0"/>
              <w:jc w:val="center"/>
            </w:pPr>
            <w:r>
              <w:rPr>
                <w:rFonts w:ascii="宋体" w:hAnsi="宋体" w:eastAsia="宋体"/>
                <w:b w:val="0"/>
                <w:sz w:val="17"/>
              </w:rPr>
              <w:t>0.82</w:t>
            </w:r>
          </w:p>
        </w:tc>
        <w:tc>
          <w:tcPr>
            <w:tcW w:type="dxa" w:w="1440"/>
          </w:tcPr>
          <w:p>
            <w:pPr>
              <w:spacing w:before="0" w:after="0"/>
              <w:jc w:val="center"/>
            </w:pPr>
            <w:r>
              <w:rPr>
                <w:rFonts w:ascii="宋体" w:hAnsi="宋体" w:eastAsia="宋体"/>
                <w:b w:val="0"/>
                <w:sz w:val="17"/>
              </w:rPr>
              <w:t>-16.8%</w:t>
            </w:r>
          </w:p>
        </w:tc>
        <w:tc>
          <w:tcPr>
            <w:tcW w:type="dxa" w:w="1440"/>
          </w:tcPr>
          <w:p>
            <w:pPr>
              <w:spacing w:before="0" w:after="0"/>
              <w:jc w:val="center"/>
            </w:pPr>
            <w:r>
              <w:rPr>
                <w:rFonts w:ascii="宋体" w:hAnsi="宋体" w:eastAsia="宋体"/>
                <w:b w:val="0"/>
                <w:sz w:val="17"/>
              </w:rPr>
              <w:t>21</w:t>
            </w:r>
          </w:p>
        </w:tc>
        <w:tc>
          <w:tcPr>
            <w:tcW w:type="dxa" w:w="1440"/>
          </w:tcPr>
          <w:p>
            <w:pPr>
              <w:spacing w:before="0" w:after="0"/>
              <w:jc w:val="center"/>
            </w:pPr>
            <w:r>
              <w:rPr>
                <w:rFonts w:ascii="宋体" w:hAnsi="宋体" w:eastAsia="宋体"/>
                <w:b w:val="0"/>
                <w:sz w:val="17"/>
              </w:rPr>
              <w:t>57%</w:t>
            </w:r>
          </w:p>
        </w:tc>
      </w:tr>
      <w:tr>
        <w:tc>
          <w:tcPr>
            <w:tcW w:type="dxa" w:w="1440"/>
          </w:tcPr>
          <w:p>
            <w:pPr>
              <w:spacing w:before="0" w:after="0"/>
              <w:jc w:val="center"/>
            </w:pPr>
            <w:r>
              <w:rPr>
                <w:rFonts w:ascii="宋体" w:hAnsi="宋体" w:eastAsia="宋体"/>
                <w:b w:val="0"/>
                <w:sz w:val="17"/>
              </w:rPr>
              <w:t>80/40</w:t>
            </w:r>
          </w:p>
        </w:tc>
        <w:tc>
          <w:tcPr>
            <w:tcW w:type="dxa" w:w="1440"/>
          </w:tcPr>
          <w:p>
            <w:pPr>
              <w:spacing w:before="0" w:after="0"/>
              <w:jc w:val="center"/>
            </w:pPr>
            <w:r>
              <w:rPr>
                <w:rFonts w:ascii="宋体" w:hAnsi="宋体" w:eastAsia="宋体"/>
                <w:b w:val="0"/>
                <w:sz w:val="17"/>
              </w:rPr>
              <w:t>8.4%</w:t>
            </w:r>
          </w:p>
        </w:tc>
        <w:tc>
          <w:tcPr>
            <w:tcW w:type="dxa" w:w="1440"/>
          </w:tcPr>
          <w:p>
            <w:pPr>
              <w:spacing w:before="0" w:after="0"/>
              <w:jc w:val="center"/>
            </w:pPr>
            <w:r>
              <w:rPr>
                <w:rFonts w:ascii="宋体" w:hAnsi="宋体" w:eastAsia="宋体"/>
                <w:b w:val="0"/>
                <w:sz w:val="17"/>
              </w:rPr>
              <w:t>0.70</w:t>
            </w:r>
          </w:p>
        </w:tc>
        <w:tc>
          <w:tcPr>
            <w:tcW w:type="dxa" w:w="1440"/>
          </w:tcPr>
          <w:p>
            <w:pPr>
              <w:spacing w:before="0" w:after="0"/>
              <w:jc w:val="center"/>
            </w:pPr>
            <w:r>
              <w:rPr>
                <w:rFonts w:ascii="宋体" w:hAnsi="宋体" w:eastAsia="宋体"/>
                <w:b w:val="0"/>
                <w:sz w:val="17"/>
              </w:rPr>
              <w:t>-24.9%</w:t>
            </w:r>
          </w:p>
        </w:tc>
        <w:tc>
          <w:tcPr>
            <w:tcW w:type="dxa" w:w="1440"/>
          </w:tcPr>
          <w:p>
            <w:pPr>
              <w:spacing w:before="0" w:after="0"/>
              <w:jc w:val="center"/>
            </w:pPr>
            <w:r>
              <w:rPr>
                <w:rFonts w:ascii="宋体" w:hAnsi="宋体" w:eastAsia="宋体"/>
                <w:b w:val="0"/>
                <w:sz w:val="17"/>
              </w:rPr>
              <w:t>21</w:t>
            </w:r>
          </w:p>
        </w:tc>
        <w:tc>
          <w:tcPr>
            <w:tcW w:type="dxa" w:w="1440"/>
          </w:tcPr>
          <w:p>
            <w:pPr>
              <w:spacing w:before="0" w:after="0"/>
              <w:jc w:val="center"/>
            </w:pPr>
            <w:r>
              <w:rPr>
                <w:rFonts w:ascii="宋体" w:hAnsi="宋体" w:eastAsia="宋体"/>
                <w:b w:val="0"/>
                <w:sz w:val="17"/>
              </w:rPr>
              <w:t>57%</w:t>
            </w:r>
          </w:p>
        </w:tc>
      </w:tr>
    </w:tbl>
    <w:p>
      <w:pPr>
        <w:spacing w:line="360" w:lineRule="auto" w:before="0" w:after="0"/>
        <w:ind w:firstLine="420"/>
        <w:jc w:val="both"/>
      </w:pPr>
      <w:r>
        <w:rPr>
          <w:rFonts w:ascii="宋体" w:hAnsi="宋体" w:eastAsia="宋体"/>
          <w:b w:val="0"/>
          <w:sz w:val="21"/>
        </w:rPr>
        <w:t>如图 8 与表 3，黄金 ETF 呈现清晰的“周期越长越好”规律：入场周期从 10 日拉长到 55 日，年化收益从 2.9% 升到 9.7%、夏普从 0.33 升到 0.82、交易次数从 74 次降到 21 次——长周期过滤掉了震荡市的大量假信号，只在真正的大趋势上出手，非常契合黄金“慢牛”的特性。但周期并非越长越好：拉到 80 日后回撤反而扩大（−24.9%），因为反应过慢、离场太迟。</w:t>
      </w:r>
    </w:p>
    <w:p>
      <w:pPr>
        <w:spacing w:line="360" w:lineRule="auto" w:before="0" w:after="0"/>
        <w:ind w:firstLine="420"/>
        <w:jc w:val="both"/>
      </w:pPr>
      <w:r>
        <w:rPr>
          <w:rFonts w:ascii="宋体" w:hAnsi="宋体" w:eastAsia="宋体"/>
          <w:b w:val="0"/>
          <w:sz w:val="21"/>
        </w:rPr>
        <w:t>然而这一规律并不通用。对纳指 ETF，通道周期越长收益反而越差（80 日年化 −1.1%），因为近年纳指波动加剧、长周期反应太慢、频繁在高位追进又深套；沪深 300 则对周期不敏感，各周期年化都在 3%—4.5% 徘徊。这说明：没有“万能周期”，参数必须与标的的波动节奏匹配——趋势平稳绵长的品种（黄金）适合长周期，波动急促的品种（纳指）反而适合较短周期抢反应。相比之下，“选对标的”比“调对参数”对最终结果的影响更大。</w:t>
      </w:r>
    </w:p>
    <w:p>
      <w:pPr>
        <w:spacing w:line="360" w:lineRule="auto" w:before="0" w:after="0"/>
        <w:jc w:val="left"/>
      </w:pPr>
      <w:r>
        <w:rPr>
          <w:rFonts w:ascii="宋体" w:hAnsi="宋体" w:eastAsia="宋体"/>
          <w:b/>
          <w:sz w:val="26"/>
        </w:rPr>
        <w:t>八、海龟法则适应场景与使用心得</w:t>
      </w:r>
    </w:p>
    <w:p>
      <w:pPr>
        <w:spacing w:line="360" w:lineRule="auto" w:before="0" w:after="0"/>
        <w:ind w:firstLine="420"/>
        <w:jc w:val="both"/>
      </w:pPr>
      <w:r>
        <w:rPr>
          <w:rFonts w:ascii="宋体" w:hAnsi="宋体" w:eastAsia="宋体"/>
          <w:b w:val="0"/>
          <w:sz w:val="21"/>
        </w:rPr>
        <w:t>综合文献与本文 16 组实证 + 通道周期扫描，对海龟交易法则的适应场景与使用要点总结如下：</w:t>
      </w:r>
    </w:p>
    <w:p>
      <w:pPr>
        <w:spacing w:line="360" w:lineRule="auto" w:before="0" w:after="0"/>
        <w:ind w:firstLine="420"/>
        <w:jc w:val="both"/>
      </w:pPr>
      <w:r>
        <w:rPr>
          <w:rFonts w:ascii="宋体" w:hAnsi="宋体" w:eastAsia="宋体"/>
          <w:b w:val="0"/>
          <w:sz w:val="21"/>
        </w:rPr>
        <w:t>1. 适应场景——趋势鲜明、波动较大、会有深度回调的标的。 海龟的全部超额收益都来自“抓大趋势、避大跌”，因此在腾讯这类高波动个股、科创 50 这类弹性成长指数上最有价值（超额转正、回撤腰斩）；在黄金、纳指这类“一路慢牛少回调”的长牛资产上，它虽控回撤出色却难跑赢买入持有；在长江电力、红利低波这类低波动无趋势标的上则基本失效。文献指向的商品/股指期货之所以是海龟主场，正因其趋势性强且可双向交易。</w:t>
      </w:r>
    </w:p>
    <w:p>
      <w:pPr>
        <w:spacing w:line="360" w:lineRule="auto" w:before="0" w:after="0"/>
        <w:ind w:firstLine="420"/>
        <w:jc w:val="both"/>
      </w:pPr>
      <w:r>
        <w:rPr>
          <w:rFonts w:ascii="宋体" w:hAnsi="宋体" w:eastAsia="宋体"/>
          <w:b w:val="0"/>
          <w:sz w:val="21"/>
        </w:rPr>
        <w:t>2. 海龟的核心价值常是“控回撤”而非“多赚”。 本文中它把腾讯回撤从 77% 压到 21%、科创 50 从 60% 压到 17%、沪深 300 从 45% 压到 20%。对厌恶大幅回撤、追求平稳净值曲线的资金而言，用一点收益换显著更浅的回撤与更高夏普，本身就是极有意义的风险管理——这也是趋势跟踪 CTA 在机构资产配置中的核心定位。</w:t>
      </w:r>
    </w:p>
    <w:p>
      <w:pPr>
        <w:spacing w:line="360" w:lineRule="auto" w:before="0" w:after="0"/>
        <w:ind w:firstLine="420"/>
        <w:jc w:val="both"/>
      </w:pPr>
      <w:r>
        <w:rPr>
          <w:rFonts w:ascii="宋体" w:hAnsi="宋体" w:eastAsia="宋体"/>
          <w:b w:val="0"/>
          <w:sz w:val="21"/>
        </w:rPr>
        <w:t>3. 必须接受“低胜率、高盈亏比”，并有纪律地执行每一次止损。 本文趋势型标的盈亏比常达 2—6 倍但胜率仅 30%—60%，盈利高度依赖少数几笔大趋势。使用者不能因连续小额止损而放弃系统，否则会恰好错过贡献全部收益的那几笔大行情——这正是海龟“机械执行、剔除情绪”纪律的意义所在。</w:t>
      </w:r>
    </w:p>
    <w:p>
      <w:pPr>
        <w:spacing w:line="360" w:lineRule="auto" w:before="0" w:after="0"/>
        <w:ind w:firstLine="420"/>
        <w:jc w:val="both"/>
      </w:pPr>
      <w:r>
        <w:rPr>
          <w:rFonts w:ascii="宋体" w:hAnsi="宋体" w:eastAsia="宋体"/>
          <w:b w:val="0"/>
          <w:sz w:val="21"/>
        </w:rPr>
        <w:t>4. 参数需与标的波动匹配，且必须计入成本、规避未来函数。 趋势平稳的品种用长周期（黄金 55 日夏普最高），波动急促的品种用短周期；短周期交易频繁，务必把佣金与冲击成本纳入回测（本文用万分之五），并让信号次日生效、通道取值排除当日，否则会系统性高估收益。ATR 头寸管理是海龟的精髓，应始终保留。</w:t>
      </w:r>
    </w:p>
    <w:p>
      <w:pPr>
        <w:spacing w:line="360" w:lineRule="auto" w:before="0" w:after="0"/>
        <w:ind w:firstLine="420"/>
        <w:jc w:val="both"/>
      </w:pPr>
      <w:r>
        <w:rPr>
          <w:rFonts w:ascii="宋体" w:hAnsi="宋体" w:eastAsia="宋体"/>
          <w:b w:val="0"/>
          <w:sz w:val="21"/>
        </w:rPr>
        <w:t>5. 只做多是国内现货的现实约束，也是本文超额偏低的重要原因。 海龟原版在期货市场可双向做空，能在下跌趋势中同样获利；而本文受限于 A 股/ETF 现货只做多，下跌时最多空仓规避、无法反向盈利，因此在长牛样本里超额收益偏保守。若在可做空的商品期货、股指期货上应用（如文献所示），海龟法则的威力会更完整地释放。</w:t>
      </w:r>
    </w:p>
    <w:p>
      <w:pPr>
        <w:spacing w:line="360" w:lineRule="auto" w:before="0" w:after="0"/>
        <w:ind w:firstLine="420"/>
        <w:jc w:val="both"/>
      </w:pPr>
      <w:r>
        <w:rPr>
          <w:rFonts w:ascii="宋体" w:hAnsi="宋体" w:eastAsia="宋体"/>
          <w:b w:val="0"/>
          <w:sz w:val="21"/>
        </w:rPr>
        <w:t>总之，海龟交易法则是理解“系统化趋势跟踪”最经典的范式：它用高低点通道捕捉趋势、用 ATR 统一风险度量、用金字塔加仓放大利润、用 2 ATR 止损截断亏损，把一套完整的交易纪律彻底量化。本文最重要的一课是——评价任何策略都要用超额收益把“标的的 β”与“策略的 α”分开，用夏普和最大回撤把“收益”与“风险”一起看；海龟的价值未必写在收益率上，而常常藏在那条更平滑、回撤更浅的净值曲线里。</w:t>
      </w:r>
    </w:p>
    <w:p/>
    <w:p>
      <w:pPr>
        <w:spacing w:line="360" w:lineRule="auto" w:before="0" w:after="0"/>
        <w:jc w:val="left"/>
      </w:pPr>
      <w:r>
        <w:rPr>
          <w:rFonts w:ascii="宋体" w:hAnsi="宋体" w:eastAsia="宋体"/>
          <w:b w:val="0"/>
          <w:color w:val="666666"/>
          <w:sz w:val="18"/>
        </w:rPr>
        <w:t>数据来源：工作坊统一行情数据（前复权日线，2018—2026，8 标的约 2000 个交易日）；回测与绘图代码：turtle_strategy.py / metrics.py / run_backtest.py / make_flowchart.py。主要参考文献：Brock, Lakonishok &amp; LeBaron (1992, JF)；Miffre &amp; Rallis (2007, JBF)；Moskowitz, Ooi &amp; Pedersen (2012, JFE)；Swart (2016, UCT)；Faith《海龟交易法则》。本文仅为量化学习实践，不构成任何投资建议，市场有风险，决策需谨慎。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