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宋体" w:hAnsi="宋体" w:eastAsia="宋体"/>
          <w:b/>
          <w:sz w:val="32"/>
        </w:rPr>
        <w:t>数据炼金术：数据诊断与构造交易指标</w:t>
      </w:r>
    </w:p>
    <w:p>
      <w:pPr>
        <w:spacing w:line="360" w:lineRule="auto" w:before="0" w:after="0"/>
        <w:jc w:val="center"/>
      </w:pPr>
      <w:r>
        <w:rPr>
          <w:rFonts w:ascii="宋体" w:hAnsi="宋体" w:eastAsia="宋体"/>
          <w:b w:val="0"/>
          <w:sz w:val="21"/>
        </w:rPr>
        <w:t>北京大学 AI 量化工作坊 · TASK2　　姓名：张哲铭</w:t>
      </w:r>
    </w:p>
    <w:p/>
    <w:p>
      <w:pPr>
        <w:spacing w:line="360" w:lineRule="auto" w:before="0" w:after="0"/>
        <w:ind w:firstLine="420"/>
        <w:jc w:val="both"/>
      </w:pPr>
      <w:r>
        <w:rPr>
          <w:rFonts w:ascii="宋体" w:hAnsi="宋体" w:eastAsia="宋体"/>
          <w:b w:val="0"/>
          <w:sz w:val="21"/>
        </w:rPr>
        <w:t>本任务承接 TASK1 搭建的数据引擎，以长江电力（600900.SH）近一年（2025-07-04 至 2026-07-03，共 242 个交易日）的日线数据为对象，先对数据进行基础诊断，再构造 RSI、MACD、布林带三个主流技术指标并可视化，最后扩展介绍并实现 KDJ 指标。</w:t>
      </w:r>
    </w:p>
    <w:p>
      <w:pPr>
        <w:spacing w:line="360" w:lineRule="auto" w:before="0" w:after="0"/>
        <w:jc w:val="left"/>
      </w:pPr>
      <w:r>
        <w:rPr>
          <w:rFonts w:ascii="宋体" w:hAnsi="宋体" w:eastAsia="宋体"/>
          <w:b/>
          <w:sz w:val="26"/>
        </w:rPr>
        <w:t>一、数据基础诊断分析</w:t>
      </w:r>
    </w:p>
    <w:p>
      <w:pPr>
        <w:spacing w:line="360" w:lineRule="auto" w:before="0" w:after="0"/>
        <w:ind w:firstLine="420"/>
        <w:jc w:val="both"/>
      </w:pPr>
      <w:r>
        <w:rPr>
          <w:rFonts w:ascii="宋体" w:hAnsi="宋体" w:eastAsia="宋体"/>
          <w:b w:val="0"/>
          <w:sz w:val="21"/>
        </w:rPr>
        <w:t>数据诊断是量化分析的第一道关口，目的是在计算指标、开发策略之前确认数据的完整性与合理性，避免“垃圾进、垃圾出”。本部分从缺失值检查、重复值检查与描述性统计三方面展开。</w:t>
      </w:r>
    </w:p>
    <w:p>
      <w:pPr>
        <w:spacing w:line="360" w:lineRule="auto" w:before="0" w:after="0"/>
        <w:ind w:firstLine="420"/>
        <w:jc w:val="left"/>
      </w:pPr>
      <w:r>
        <w:rPr>
          <w:rFonts w:ascii="宋体" w:hAnsi="宋体" w:eastAsia="宋体"/>
          <w:b/>
          <w:sz w:val="22"/>
        </w:rPr>
        <w:t>1. 缺失值与重复值检查</w:t>
      </w:r>
    </w:p>
    <w:p>
      <w:pPr>
        <w:spacing w:line="360" w:lineRule="auto" w:before="0" w:after="0"/>
        <w:ind w:firstLine="420"/>
        <w:jc w:val="both"/>
      </w:pPr>
      <w:r>
        <w:rPr>
          <w:rFonts w:ascii="宋体" w:hAnsi="宋体" w:eastAsia="宋体"/>
          <w:b w:val="0"/>
          <w:sz w:val="21"/>
        </w:rPr>
        <w:t>使用 pandas 的 isnull().sum() 逐字段统计缺失数量，并用 duplicated() 检查重复交易日。检查结果表明：全部 11 个字段、242 行数据均无缺失值，且无重复交易日，数据完整、可直接用于后续指标计算。核心代码如下：</w:t>
      </w:r>
    </w:p>
    <w:p>
      <w:pPr>
        <w:spacing w:line="240" w:lineRule="auto" w:before="0" w:after="0"/>
        <w:jc w:val="left"/>
      </w:pPr>
      <w:r>
        <w:rPr>
          <w:rFonts w:ascii="Consolas" w:hAnsi="Consolas" w:eastAsia="宋体"/>
          <w:color w:val="333333"/>
          <w:sz w:val="18"/>
        </w:rPr>
        <w:t>df.isnull().sum()                 # 各字段缺失值数量</w:t>
      </w:r>
    </w:p>
    <w:p>
      <w:pPr>
        <w:spacing w:line="240" w:lineRule="auto" w:before="0" w:after="0"/>
        <w:jc w:val="left"/>
      </w:pPr>
      <w:r>
        <w:rPr>
          <w:rFonts w:ascii="Consolas" w:hAnsi="Consolas" w:eastAsia="宋体"/>
          <w:color w:val="333333"/>
          <w:sz w:val="18"/>
        </w:rPr>
        <w:t>df.duplicated(subset=["trade_date"]).sum()   # 重复交易日</w:t>
      </w:r>
    </w:p>
    <w:p>
      <w:pPr>
        <w:spacing w:line="240" w:lineRule="auto" w:before="0" w:after="0"/>
        <w:jc w:val="left"/>
      </w:pPr>
      <w:r>
        <w:rPr>
          <w:rFonts w:ascii="Consolas" w:hAnsi="Consolas" w:eastAsia="宋体"/>
          <w:color w:val="333333"/>
          <w:sz w:val="18"/>
        </w:rPr>
        <w:t>df.describe()                     # 描述性统计量</w:t>
      </w:r>
    </w:p>
    <w:p>
      <w:pPr>
        <w:spacing w:line="360" w:lineRule="auto" w:before="0" w:after="0"/>
        <w:ind w:firstLine="420"/>
        <w:jc w:val="left"/>
      </w:pPr>
      <w:r>
        <w:rPr>
          <w:rFonts w:ascii="宋体" w:hAnsi="宋体" w:eastAsia="宋体"/>
          <w:b/>
          <w:sz w:val="22"/>
        </w:rPr>
        <w:t>2. 描述性统计量</w:t>
      </w:r>
    </w:p>
    <w:p>
      <w:pPr>
        <w:spacing w:line="360" w:lineRule="auto" w:before="0" w:after="0"/>
        <w:ind w:firstLine="420"/>
        <w:jc w:val="both"/>
      </w:pPr>
      <w:r>
        <w:rPr>
          <w:rFonts w:ascii="宋体" w:hAnsi="宋体" w:eastAsia="宋体"/>
          <w:b w:val="0"/>
          <w:sz w:val="21"/>
        </w:rPr>
        <w:t>对开盘价、最高价、最低价、收盘价、成交量、成交额与涨跌幅计算描述性统计量，结果见表 1。可以看出：区间内收盘价均值约 27.56 元、标准差仅 0.92 元，最低 25.65 元、最高 30.61 元，价格波动区间较窄；日涨跌幅均值约 -0.03%、标准差 0.76%，且最大单日涨幅（+2.05%）与最大单日跌幅（-3.00%）都不大，整体呈现大盘蓝筹“低波动、走势稳健”的特征。成交量与成交额的标准差相对均值较大，说明市场活跃度在不同交易日之间存在明显差异。</w:t>
      </w:r>
    </w:p>
    <w:p>
      <w:pPr>
        <w:spacing w:line="360" w:lineRule="auto" w:before="0" w:after="0"/>
        <w:jc w:val="center"/>
      </w:pPr>
      <w:r>
        <w:rPr>
          <w:rFonts w:ascii="宋体" w:hAnsi="宋体" w:eastAsia="宋体"/>
          <w:b/>
          <w:sz w:val="18"/>
        </w:rPr>
        <w:t>表 1　核心字段描述性统计量</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rFonts w:ascii="宋体" w:hAnsi="宋体" w:eastAsia="宋体"/>
                <w:b/>
                <w:sz w:val="18"/>
              </w:rPr>
              <w:t>字段</w:t>
            </w:r>
          </w:p>
        </w:tc>
        <w:tc>
          <w:tcPr>
            <w:tcW w:type="dxa" w:w="1080"/>
          </w:tcPr>
          <w:p>
            <w:pPr>
              <w:jc w:val="center"/>
            </w:pPr>
            <w:r>
              <w:rPr>
                <w:rFonts w:ascii="宋体" w:hAnsi="宋体" w:eastAsia="宋体"/>
                <w:b/>
                <w:sz w:val="18"/>
              </w:rPr>
              <w:t>均值</w:t>
            </w:r>
          </w:p>
        </w:tc>
        <w:tc>
          <w:tcPr>
            <w:tcW w:type="dxa" w:w="1080"/>
          </w:tcPr>
          <w:p>
            <w:pPr>
              <w:jc w:val="center"/>
            </w:pPr>
            <w:r>
              <w:rPr>
                <w:rFonts w:ascii="宋体" w:hAnsi="宋体" w:eastAsia="宋体"/>
                <w:b/>
                <w:sz w:val="18"/>
              </w:rPr>
              <w:t>标准差</w:t>
            </w:r>
          </w:p>
        </w:tc>
        <w:tc>
          <w:tcPr>
            <w:tcW w:type="dxa" w:w="1080"/>
          </w:tcPr>
          <w:p>
            <w:pPr>
              <w:jc w:val="center"/>
            </w:pPr>
            <w:r>
              <w:rPr>
                <w:rFonts w:ascii="宋体" w:hAnsi="宋体" w:eastAsia="宋体"/>
                <w:b/>
                <w:sz w:val="18"/>
              </w:rPr>
              <w:t>最小值</w:t>
            </w:r>
          </w:p>
        </w:tc>
        <w:tc>
          <w:tcPr>
            <w:tcW w:type="dxa" w:w="1080"/>
          </w:tcPr>
          <w:p>
            <w:pPr>
              <w:jc w:val="center"/>
            </w:pPr>
            <w:r>
              <w:rPr>
                <w:rFonts w:ascii="宋体" w:hAnsi="宋体" w:eastAsia="宋体"/>
                <w:b/>
                <w:sz w:val="18"/>
              </w:rPr>
              <w:t>25%分位</w:t>
            </w:r>
          </w:p>
        </w:tc>
        <w:tc>
          <w:tcPr>
            <w:tcW w:type="dxa" w:w="1080"/>
          </w:tcPr>
          <w:p>
            <w:pPr>
              <w:jc w:val="center"/>
            </w:pPr>
            <w:r>
              <w:rPr>
                <w:rFonts w:ascii="宋体" w:hAnsi="宋体" w:eastAsia="宋体"/>
                <w:b/>
                <w:sz w:val="18"/>
              </w:rPr>
              <w:t>中位数</w:t>
            </w:r>
          </w:p>
        </w:tc>
        <w:tc>
          <w:tcPr>
            <w:tcW w:type="dxa" w:w="1080"/>
          </w:tcPr>
          <w:p>
            <w:pPr>
              <w:jc w:val="center"/>
            </w:pPr>
            <w:r>
              <w:rPr>
                <w:rFonts w:ascii="宋体" w:hAnsi="宋体" w:eastAsia="宋体"/>
                <w:b/>
                <w:sz w:val="18"/>
              </w:rPr>
              <w:t>75%分位</w:t>
            </w:r>
          </w:p>
        </w:tc>
        <w:tc>
          <w:tcPr>
            <w:tcW w:type="dxa" w:w="1080"/>
          </w:tcPr>
          <w:p>
            <w:pPr>
              <w:jc w:val="center"/>
            </w:pPr>
            <w:r>
              <w:rPr>
                <w:rFonts w:ascii="宋体" w:hAnsi="宋体" w:eastAsia="宋体"/>
                <w:b/>
                <w:sz w:val="18"/>
              </w:rPr>
              <w:t>最大值</w:t>
            </w:r>
          </w:p>
        </w:tc>
      </w:tr>
      <w:tr>
        <w:tc>
          <w:tcPr>
            <w:tcW w:type="dxa" w:w="1080"/>
          </w:tcPr>
          <w:p>
            <w:pPr>
              <w:jc w:val="center"/>
            </w:pPr>
            <w:r>
              <w:rPr>
                <w:rFonts w:ascii="宋体" w:hAnsi="宋体" w:eastAsia="宋体"/>
                <w:b w:val="0"/>
                <w:sz w:val="17"/>
              </w:rPr>
              <w:t>开盘价</w:t>
            </w:r>
          </w:p>
        </w:tc>
        <w:tc>
          <w:tcPr>
            <w:tcW w:type="dxa" w:w="1080"/>
          </w:tcPr>
          <w:p>
            <w:pPr>
              <w:jc w:val="center"/>
            </w:pPr>
            <w:r>
              <w:rPr>
                <w:rFonts w:ascii="宋体" w:hAnsi="宋体" w:eastAsia="宋体"/>
                <w:b w:val="0"/>
                <w:sz w:val="17"/>
              </w:rPr>
              <w:t>27.570</w:t>
            </w:r>
          </w:p>
        </w:tc>
        <w:tc>
          <w:tcPr>
            <w:tcW w:type="dxa" w:w="1080"/>
          </w:tcPr>
          <w:p>
            <w:pPr>
              <w:jc w:val="center"/>
            </w:pPr>
            <w:r>
              <w:rPr>
                <w:rFonts w:ascii="宋体" w:hAnsi="宋体" w:eastAsia="宋体"/>
                <w:b w:val="0"/>
                <w:sz w:val="17"/>
              </w:rPr>
              <w:t>0.923</w:t>
            </w:r>
          </w:p>
        </w:tc>
        <w:tc>
          <w:tcPr>
            <w:tcW w:type="dxa" w:w="1080"/>
          </w:tcPr>
          <w:p>
            <w:pPr>
              <w:jc w:val="center"/>
            </w:pPr>
            <w:r>
              <w:rPr>
                <w:rFonts w:ascii="宋体" w:hAnsi="宋体" w:eastAsia="宋体"/>
                <w:b w:val="0"/>
                <w:sz w:val="17"/>
              </w:rPr>
              <w:t>25.650</w:t>
            </w:r>
          </w:p>
        </w:tc>
        <w:tc>
          <w:tcPr>
            <w:tcW w:type="dxa" w:w="1080"/>
          </w:tcPr>
          <w:p>
            <w:pPr>
              <w:jc w:val="center"/>
            </w:pPr>
            <w:r>
              <w:rPr>
                <w:rFonts w:ascii="宋体" w:hAnsi="宋体" w:eastAsia="宋体"/>
                <w:b w:val="0"/>
                <w:sz w:val="17"/>
              </w:rPr>
              <w:t>26.930</w:t>
            </w:r>
          </w:p>
        </w:tc>
        <w:tc>
          <w:tcPr>
            <w:tcW w:type="dxa" w:w="1080"/>
          </w:tcPr>
          <w:p>
            <w:pPr>
              <w:jc w:val="center"/>
            </w:pPr>
            <w:r>
              <w:rPr>
                <w:rFonts w:ascii="宋体" w:hAnsi="宋体" w:eastAsia="宋体"/>
                <w:b w:val="0"/>
                <w:sz w:val="17"/>
              </w:rPr>
              <w:t>27.505</w:t>
            </w:r>
          </w:p>
        </w:tc>
        <w:tc>
          <w:tcPr>
            <w:tcW w:type="dxa" w:w="1080"/>
          </w:tcPr>
          <w:p>
            <w:pPr>
              <w:jc w:val="center"/>
            </w:pPr>
            <w:r>
              <w:rPr>
                <w:rFonts w:ascii="宋体" w:hAnsi="宋体" w:eastAsia="宋体"/>
                <w:b w:val="0"/>
                <w:sz w:val="17"/>
              </w:rPr>
              <w:t>28.047</w:t>
            </w:r>
          </w:p>
        </w:tc>
        <w:tc>
          <w:tcPr>
            <w:tcW w:type="dxa" w:w="1080"/>
          </w:tcPr>
          <w:p>
            <w:pPr>
              <w:jc w:val="center"/>
            </w:pPr>
            <w:r>
              <w:rPr>
                <w:rFonts w:ascii="宋体" w:hAnsi="宋体" w:eastAsia="宋体"/>
                <w:b w:val="0"/>
                <w:sz w:val="17"/>
              </w:rPr>
              <w:t>30.610</w:t>
            </w:r>
          </w:p>
        </w:tc>
      </w:tr>
      <w:tr>
        <w:tc>
          <w:tcPr>
            <w:tcW w:type="dxa" w:w="1080"/>
          </w:tcPr>
          <w:p>
            <w:pPr>
              <w:jc w:val="center"/>
            </w:pPr>
            <w:r>
              <w:rPr>
                <w:rFonts w:ascii="宋体" w:hAnsi="宋体" w:eastAsia="宋体"/>
                <w:b w:val="0"/>
                <w:sz w:val="17"/>
              </w:rPr>
              <w:t>最高价</w:t>
            </w:r>
          </w:p>
        </w:tc>
        <w:tc>
          <w:tcPr>
            <w:tcW w:type="dxa" w:w="1080"/>
          </w:tcPr>
          <w:p>
            <w:pPr>
              <w:jc w:val="center"/>
            </w:pPr>
            <w:r>
              <w:rPr>
                <w:rFonts w:ascii="宋体" w:hAnsi="宋体" w:eastAsia="宋体"/>
                <w:b w:val="0"/>
                <w:sz w:val="17"/>
              </w:rPr>
              <w:t>27.725</w:t>
            </w:r>
          </w:p>
        </w:tc>
        <w:tc>
          <w:tcPr>
            <w:tcW w:type="dxa" w:w="1080"/>
          </w:tcPr>
          <w:p>
            <w:pPr>
              <w:jc w:val="center"/>
            </w:pPr>
            <w:r>
              <w:rPr>
                <w:rFonts w:ascii="宋体" w:hAnsi="宋体" w:eastAsia="宋体"/>
                <w:b w:val="0"/>
                <w:sz w:val="17"/>
              </w:rPr>
              <w:t>0.915</w:t>
            </w:r>
          </w:p>
        </w:tc>
        <w:tc>
          <w:tcPr>
            <w:tcW w:type="dxa" w:w="1080"/>
          </w:tcPr>
          <w:p>
            <w:pPr>
              <w:jc w:val="center"/>
            </w:pPr>
            <w:r>
              <w:rPr>
                <w:rFonts w:ascii="宋体" w:hAnsi="宋体" w:eastAsia="宋体"/>
                <w:b w:val="0"/>
                <w:sz w:val="17"/>
              </w:rPr>
              <w:t>25.940</w:t>
            </w:r>
          </w:p>
        </w:tc>
        <w:tc>
          <w:tcPr>
            <w:tcW w:type="dxa" w:w="1080"/>
          </w:tcPr>
          <w:p>
            <w:pPr>
              <w:jc w:val="center"/>
            </w:pPr>
            <w:r>
              <w:rPr>
                <w:rFonts w:ascii="宋体" w:hAnsi="宋体" w:eastAsia="宋体"/>
                <w:b w:val="0"/>
                <w:sz w:val="17"/>
              </w:rPr>
              <w:t>27.135</w:t>
            </w:r>
          </w:p>
        </w:tc>
        <w:tc>
          <w:tcPr>
            <w:tcW w:type="dxa" w:w="1080"/>
          </w:tcPr>
          <w:p>
            <w:pPr>
              <w:jc w:val="center"/>
            </w:pPr>
            <w:r>
              <w:rPr>
                <w:rFonts w:ascii="宋体" w:hAnsi="宋体" w:eastAsia="宋体"/>
                <w:b w:val="0"/>
                <w:sz w:val="17"/>
              </w:rPr>
              <w:t>27.690</w:t>
            </w:r>
          </w:p>
        </w:tc>
        <w:tc>
          <w:tcPr>
            <w:tcW w:type="dxa" w:w="1080"/>
          </w:tcPr>
          <w:p>
            <w:pPr>
              <w:jc w:val="center"/>
            </w:pPr>
            <w:r>
              <w:rPr>
                <w:rFonts w:ascii="宋体" w:hAnsi="宋体" w:eastAsia="宋体"/>
                <w:b w:val="0"/>
                <w:sz w:val="17"/>
              </w:rPr>
              <w:t>28.180</w:t>
            </w:r>
          </w:p>
        </w:tc>
        <w:tc>
          <w:tcPr>
            <w:tcW w:type="dxa" w:w="1080"/>
          </w:tcPr>
          <w:p>
            <w:pPr>
              <w:jc w:val="center"/>
            </w:pPr>
            <w:r>
              <w:rPr>
                <w:rFonts w:ascii="宋体" w:hAnsi="宋体" w:eastAsia="宋体"/>
                <w:b w:val="0"/>
                <w:sz w:val="17"/>
              </w:rPr>
              <w:t>30.790</w:t>
            </w:r>
          </w:p>
        </w:tc>
      </w:tr>
      <w:tr>
        <w:tc>
          <w:tcPr>
            <w:tcW w:type="dxa" w:w="1080"/>
          </w:tcPr>
          <w:p>
            <w:pPr>
              <w:jc w:val="center"/>
            </w:pPr>
            <w:r>
              <w:rPr>
                <w:rFonts w:ascii="宋体" w:hAnsi="宋体" w:eastAsia="宋体"/>
                <w:b w:val="0"/>
                <w:sz w:val="17"/>
              </w:rPr>
              <w:t>最低价</w:t>
            </w:r>
          </w:p>
        </w:tc>
        <w:tc>
          <w:tcPr>
            <w:tcW w:type="dxa" w:w="1080"/>
          </w:tcPr>
          <w:p>
            <w:pPr>
              <w:jc w:val="center"/>
            </w:pPr>
            <w:r>
              <w:rPr>
                <w:rFonts w:ascii="宋体" w:hAnsi="宋体" w:eastAsia="宋体"/>
                <w:b w:val="0"/>
                <w:sz w:val="17"/>
              </w:rPr>
              <w:t>27.404</w:t>
            </w:r>
          </w:p>
        </w:tc>
        <w:tc>
          <w:tcPr>
            <w:tcW w:type="dxa" w:w="1080"/>
          </w:tcPr>
          <w:p>
            <w:pPr>
              <w:jc w:val="center"/>
            </w:pPr>
            <w:r>
              <w:rPr>
                <w:rFonts w:ascii="宋体" w:hAnsi="宋体" w:eastAsia="宋体"/>
                <w:b w:val="0"/>
                <w:sz w:val="17"/>
              </w:rPr>
              <w:t>0.926</w:t>
            </w:r>
          </w:p>
        </w:tc>
        <w:tc>
          <w:tcPr>
            <w:tcW w:type="dxa" w:w="1080"/>
          </w:tcPr>
          <w:p>
            <w:pPr>
              <w:jc w:val="center"/>
            </w:pPr>
            <w:r>
              <w:rPr>
                <w:rFonts w:ascii="宋体" w:hAnsi="宋体" w:eastAsia="宋体"/>
                <w:b w:val="0"/>
                <w:sz w:val="17"/>
              </w:rPr>
              <w:t>25.380</w:t>
            </w:r>
          </w:p>
        </w:tc>
        <w:tc>
          <w:tcPr>
            <w:tcW w:type="dxa" w:w="1080"/>
          </w:tcPr>
          <w:p>
            <w:pPr>
              <w:jc w:val="center"/>
            </w:pPr>
            <w:r>
              <w:rPr>
                <w:rFonts w:ascii="宋体" w:hAnsi="宋体" w:eastAsia="宋体"/>
                <w:b w:val="0"/>
                <w:sz w:val="17"/>
              </w:rPr>
              <w:t>26.753</w:t>
            </w:r>
          </w:p>
        </w:tc>
        <w:tc>
          <w:tcPr>
            <w:tcW w:type="dxa" w:w="1080"/>
          </w:tcPr>
          <w:p>
            <w:pPr>
              <w:jc w:val="center"/>
            </w:pPr>
            <w:r>
              <w:rPr>
                <w:rFonts w:ascii="宋体" w:hAnsi="宋体" w:eastAsia="宋体"/>
                <w:b w:val="0"/>
                <w:sz w:val="17"/>
              </w:rPr>
              <w:t>27.370</w:t>
            </w:r>
          </w:p>
        </w:tc>
        <w:tc>
          <w:tcPr>
            <w:tcW w:type="dxa" w:w="1080"/>
          </w:tcPr>
          <w:p>
            <w:pPr>
              <w:jc w:val="center"/>
            </w:pPr>
            <w:r>
              <w:rPr>
                <w:rFonts w:ascii="宋体" w:hAnsi="宋体" w:eastAsia="宋体"/>
                <w:b w:val="0"/>
                <w:sz w:val="17"/>
              </w:rPr>
              <w:t>27.900</w:t>
            </w:r>
          </w:p>
        </w:tc>
        <w:tc>
          <w:tcPr>
            <w:tcW w:type="dxa" w:w="1080"/>
          </w:tcPr>
          <w:p>
            <w:pPr>
              <w:jc w:val="center"/>
            </w:pPr>
            <w:r>
              <w:rPr>
                <w:rFonts w:ascii="宋体" w:hAnsi="宋体" w:eastAsia="宋体"/>
                <w:b w:val="0"/>
                <w:sz w:val="17"/>
              </w:rPr>
              <w:t>30.400</w:t>
            </w:r>
          </w:p>
        </w:tc>
      </w:tr>
      <w:tr>
        <w:tc>
          <w:tcPr>
            <w:tcW w:type="dxa" w:w="1080"/>
          </w:tcPr>
          <w:p>
            <w:pPr>
              <w:jc w:val="center"/>
            </w:pPr>
            <w:r>
              <w:rPr>
                <w:rFonts w:ascii="宋体" w:hAnsi="宋体" w:eastAsia="宋体"/>
                <w:b w:val="0"/>
                <w:sz w:val="17"/>
              </w:rPr>
              <w:t>收盘价</w:t>
            </w:r>
          </w:p>
        </w:tc>
        <w:tc>
          <w:tcPr>
            <w:tcW w:type="dxa" w:w="1080"/>
          </w:tcPr>
          <w:p>
            <w:pPr>
              <w:jc w:val="center"/>
            </w:pPr>
            <w:r>
              <w:rPr>
                <w:rFonts w:ascii="宋体" w:hAnsi="宋体" w:eastAsia="宋体"/>
                <w:b w:val="0"/>
                <w:sz w:val="17"/>
              </w:rPr>
              <w:t>27.563</w:t>
            </w:r>
          </w:p>
        </w:tc>
        <w:tc>
          <w:tcPr>
            <w:tcW w:type="dxa" w:w="1080"/>
          </w:tcPr>
          <w:p>
            <w:pPr>
              <w:jc w:val="center"/>
            </w:pPr>
            <w:r>
              <w:rPr>
                <w:rFonts w:ascii="宋体" w:hAnsi="宋体" w:eastAsia="宋体"/>
                <w:b w:val="0"/>
                <w:sz w:val="17"/>
              </w:rPr>
              <w:t>0.918</w:t>
            </w:r>
          </w:p>
        </w:tc>
        <w:tc>
          <w:tcPr>
            <w:tcW w:type="dxa" w:w="1080"/>
          </w:tcPr>
          <w:p>
            <w:pPr>
              <w:jc w:val="center"/>
            </w:pPr>
            <w:r>
              <w:rPr>
                <w:rFonts w:ascii="宋体" w:hAnsi="宋体" w:eastAsia="宋体"/>
                <w:b w:val="0"/>
                <w:sz w:val="17"/>
              </w:rPr>
              <w:t>25.650</w:t>
            </w:r>
          </w:p>
        </w:tc>
        <w:tc>
          <w:tcPr>
            <w:tcW w:type="dxa" w:w="1080"/>
          </w:tcPr>
          <w:p>
            <w:pPr>
              <w:jc w:val="center"/>
            </w:pPr>
            <w:r>
              <w:rPr>
                <w:rFonts w:ascii="宋体" w:hAnsi="宋体" w:eastAsia="宋体"/>
                <w:b w:val="0"/>
                <w:sz w:val="17"/>
              </w:rPr>
              <w:t>26.943</w:t>
            </w:r>
          </w:p>
        </w:tc>
        <w:tc>
          <w:tcPr>
            <w:tcW w:type="dxa" w:w="1080"/>
          </w:tcPr>
          <w:p>
            <w:pPr>
              <w:jc w:val="center"/>
            </w:pPr>
            <w:r>
              <w:rPr>
                <w:rFonts w:ascii="宋体" w:hAnsi="宋体" w:eastAsia="宋体"/>
                <w:b w:val="0"/>
                <w:sz w:val="17"/>
              </w:rPr>
              <w:t>27.555</w:t>
            </w:r>
          </w:p>
        </w:tc>
        <w:tc>
          <w:tcPr>
            <w:tcW w:type="dxa" w:w="1080"/>
          </w:tcPr>
          <w:p>
            <w:pPr>
              <w:jc w:val="center"/>
            </w:pPr>
            <w:r>
              <w:rPr>
                <w:rFonts w:ascii="宋体" w:hAnsi="宋体" w:eastAsia="宋体"/>
                <w:b w:val="0"/>
                <w:sz w:val="17"/>
              </w:rPr>
              <w:t>28.067</w:t>
            </w:r>
          </w:p>
        </w:tc>
        <w:tc>
          <w:tcPr>
            <w:tcW w:type="dxa" w:w="1080"/>
          </w:tcPr>
          <w:p>
            <w:pPr>
              <w:jc w:val="center"/>
            </w:pPr>
            <w:r>
              <w:rPr>
                <w:rFonts w:ascii="宋体" w:hAnsi="宋体" w:eastAsia="宋体"/>
                <w:b w:val="0"/>
                <w:sz w:val="17"/>
              </w:rPr>
              <w:t>30.610</w:t>
            </w:r>
          </w:p>
        </w:tc>
      </w:tr>
      <w:tr>
        <w:tc>
          <w:tcPr>
            <w:tcW w:type="dxa" w:w="1080"/>
          </w:tcPr>
          <w:p>
            <w:pPr>
              <w:jc w:val="center"/>
            </w:pPr>
            <w:r>
              <w:rPr>
                <w:rFonts w:ascii="宋体" w:hAnsi="宋体" w:eastAsia="宋体"/>
                <w:b w:val="0"/>
                <w:sz w:val="17"/>
              </w:rPr>
              <w:t>成交量</w:t>
            </w:r>
          </w:p>
        </w:tc>
        <w:tc>
          <w:tcPr>
            <w:tcW w:type="dxa" w:w="1080"/>
          </w:tcPr>
          <w:p>
            <w:pPr>
              <w:jc w:val="center"/>
            </w:pPr>
            <w:r>
              <w:rPr>
                <w:rFonts w:ascii="宋体" w:hAnsi="宋体" w:eastAsia="宋体"/>
                <w:b w:val="0"/>
                <w:sz w:val="17"/>
              </w:rPr>
              <w:t>996,514.86</w:t>
            </w:r>
          </w:p>
        </w:tc>
        <w:tc>
          <w:tcPr>
            <w:tcW w:type="dxa" w:w="1080"/>
          </w:tcPr>
          <w:p>
            <w:pPr>
              <w:jc w:val="center"/>
            </w:pPr>
            <w:r>
              <w:rPr>
                <w:rFonts w:ascii="宋体" w:hAnsi="宋体" w:eastAsia="宋体"/>
                <w:b w:val="0"/>
                <w:sz w:val="17"/>
              </w:rPr>
              <w:t>434,110.52</w:t>
            </w:r>
          </w:p>
        </w:tc>
        <w:tc>
          <w:tcPr>
            <w:tcW w:type="dxa" w:w="1080"/>
          </w:tcPr>
          <w:p>
            <w:pPr>
              <w:jc w:val="center"/>
            </w:pPr>
            <w:r>
              <w:rPr>
                <w:rFonts w:ascii="宋体" w:hAnsi="宋体" w:eastAsia="宋体"/>
                <w:b w:val="0"/>
                <w:sz w:val="17"/>
              </w:rPr>
              <w:t>300,805.76</w:t>
            </w:r>
          </w:p>
        </w:tc>
        <w:tc>
          <w:tcPr>
            <w:tcW w:type="dxa" w:w="1080"/>
          </w:tcPr>
          <w:p>
            <w:pPr>
              <w:jc w:val="center"/>
            </w:pPr>
            <w:r>
              <w:rPr>
                <w:rFonts w:ascii="宋体" w:hAnsi="宋体" w:eastAsia="宋体"/>
                <w:b w:val="0"/>
                <w:sz w:val="17"/>
              </w:rPr>
              <w:t>718,186.58</w:t>
            </w:r>
          </w:p>
        </w:tc>
        <w:tc>
          <w:tcPr>
            <w:tcW w:type="dxa" w:w="1080"/>
          </w:tcPr>
          <w:p>
            <w:pPr>
              <w:jc w:val="center"/>
            </w:pPr>
            <w:r>
              <w:rPr>
                <w:rFonts w:ascii="宋体" w:hAnsi="宋体" w:eastAsia="宋体"/>
                <w:b w:val="0"/>
                <w:sz w:val="17"/>
              </w:rPr>
              <w:t>902,586.44</w:t>
            </w:r>
          </w:p>
        </w:tc>
        <w:tc>
          <w:tcPr>
            <w:tcW w:type="dxa" w:w="1080"/>
          </w:tcPr>
          <w:p>
            <w:pPr>
              <w:jc w:val="center"/>
            </w:pPr>
            <w:r>
              <w:rPr>
                <w:rFonts w:ascii="宋体" w:hAnsi="宋体" w:eastAsia="宋体"/>
                <w:b w:val="0"/>
                <w:sz w:val="17"/>
              </w:rPr>
              <w:t>1,146,435.88</w:t>
            </w:r>
          </w:p>
        </w:tc>
        <w:tc>
          <w:tcPr>
            <w:tcW w:type="dxa" w:w="1080"/>
          </w:tcPr>
          <w:p>
            <w:pPr>
              <w:jc w:val="center"/>
            </w:pPr>
            <w:r>
              <w:rPr>
                <w:rFonts w:ascii="宋体" w:hAnsi="宋体" w:eastAsia="宋体"/>
                <w:b w:val="0"/>
                <w:sz w:val="17"/>
              </w:rPr>
              <w:t>2,927,500.88</w:t>
            </w:r>
          </w:p>
        </w:tc>
      </w:tr>
      <w:tr>
        <w:tc>
          <w:tcPr>
            <w:tcW w:type="dxa" w:w="1080"/>
          </w:tcPr>
          <w:p>
            <w:pPr>
              <w:jc w:val="center"/>
            </w:pPr>
            <w:r>
              <w:rPr>
                <w:rFonts w:ascii="宋体" w:hAnsi="宋体" w:eastAsia="宋体"/>
                <w:b w:val="0"/>
                <w:sz w:val="17"/>
              </w:rPr>
              <w:t>成交额</w:t>
            </w:r>
          </w:p>
        </w:tc>
        <w:tc>
          <w:tcPr>
            <w:tcW w:type="dxa" w:w="1080"/>
          </w:tcPr>
          <w:p>
            <w:pPr>
              <w:jc w:val="center"/>
            </w:pPr>
            <w:r>
              <w:rPr>
                <w:rFonts w:ascii="宋体" w:hAnsi="宋体" w:eastAsia="宋体"/>
                <w:b w:val="0"/>
                <w:sz w:val="17"/>
              </w:rPr>
              <w:t>2,737,287.33</w:t>
            </w:r>
          </w:p>
        </w:tc>
        <w:tc>
          <w:tcPr>
            <w:tcW w:type="dxa" w:w="1080"/>
          </w:tcPr>
          <w:p>
            <w:pPr>
              <w:jc w:val="center"/>
            </w:pPr>
            <w:r>
              <w:rPr>
                <w:rFonts w:ascii="宋体" w:hAnsi="宋体" w:eastAsia="宋体"/>
                <w:b w:val="0"/>
                <w:sz w:val="17"/>
              </w:rPr>
              <w:t>1,166,672.33</w:t>
            </w:r>
          </w:p>
        </w:tc>
        <w:tc>
          <w:tcPr>
            <w:tcW w:type="dxa" w:w="1080"/>
          </w:tcPr>
          <w:p>
            <w:pPr>
              <w:jc w:val="center"/>
            </w:pPr>
            <w:r>
              <w:rPr>
                <w:rFonts w:ascii="宋体" w:hAnsi="宋体" w:eastAsia="宋体"/>
                <w:b w:val="0"/>
                <w:sz w:val="17"/>
              </w:rPr>
              <w:t>831,149.45</w:t>
            </w:r>
          </w:p>
        </w:tc>
        <w:tc>
          <w:tcPr>
            <w:tcW w:type="dxa" w:w="1080"/>
          </w:tcPr>
          <w:p>
            <w:pPr>
              <w:jc w:val="center"/>
            </w:pPr>
            <w:r>
              <w:rPr>
                <w:rFonts w:ascii="宋体" w:hAnsi="宋体" w:eastAsia="宋体"/>
                <w:b w:val="0"/>
                <w:sz w:val="17"/>
              </w:rPr>
              <w:t>1,956,586.71</w:t>
            </w:r>
          </w:p>
        </w:tc>
        <w:tc>
          <w:tcPr>
            <w:tcW w:type="dxa" w:w="1080"/>
          </w:tcPr>
          <w:p>
            <w:pPr>
              <w:jc w:val="center"/>
            </w:pPr>
            <w:r>
              <w:rPr>
                <w:rFonts w:ascii="宋体" w:hAnsi="宋体" w:eastAsia="宋体"/>
                <w:b w:val="0"/>
                <w:sz w:val="17"/>
              </w:rPr>
              <w:t>2,443,241.22</w:t>
            </w:r>
          </w:p>
        </w:tc>
        <w:tc>
          <w:tcPr>
            <w:tcW w:type="dxa" w:w="1080"/>
          </w:tcPr>
          <w:p>
            <w:pPr>
              <w:jc w:val="center"/>
            </w:pPr>
            <w:r>
              <w:rPr>
                <w:rFonts w:ascii="宋体" w:hAnsi="宋体" w:eastAsia="宋体"/>
                <w:b w:val="0"/>
                <w:sz w:val="17"/>
              </w:rPr>
              <w:t>3,171,835.49</w:t>
            </w:r>
          </w:p>
        </w:tc>
        <w:tc>
          <w:tcPr>
            <w:tcW w:type="dxa" w:w="1080"/>
          </w:tcPr>
          <w:p>
            <w:pPr>
              <w:jc w:val="center"/>
            </w:pPr>
            <w:r>
              <w:rPr>
                <w:rFonts w:ascii="宋体" w:hAnsi="宋体" w:eastAsia="宋体"/>
                <w:b w:val="0"/>
                <w:sz w:val="17"/>
              </w:rPr>
              <w:t>7,941,387.45</w:t>
            </w:r>
          </w:p>
        </w:tc>
      </w:tr>
      <w:tr>
        <w:tc>
          <w:tcPr>
            <w:tcW w:type="dxa" w:w="1080"/>
          </w:tcPr>
          <w:p>
            <w:pPr>
              <w:jc w:val="center"/>
            </w:pPr>
            <w:r>
              <w:rPr>
                <w:rFonts w:ascii="宋体" w:hAnsi="宋体" w:eastAsia="宋体"/>
                <w:b w:val="0"/>
                <w:sz w:val="17"/>
              </w:rPr>
              <w:t>涨跌幅(%)</w:t>
            </w:r>
          </w:p>
        </w:tc>
        <w:tc>
          <w:tcPr>
            <w:tcW w:type="dxa" w:w="1080"/>
          </w:tcPr>
          <w:p>
            <w:pPr>
              <w:jc w:val="center"/>
            </w:pPr>
            <w:r>
              <w:rPr>
                <w:rFonts w:ascii="宋体" w:hAnsi="宋体" w:eastAsia="宋体"/>
                <w:b w:val="0"/>
                <w:sz w:val="17"/>
              </w:rPr>
              <w:t>-0.028</w:t>
            </w:r>
          </w:p>
        </w:tc>
        <w:tc>
          <w:tcPr>
            <w:tcW w:type="dxa" w:w="1080"/>
          </w:tcPr>
          <w:p>
            <w:pPr>
              <w:jc w:val="center"/>
            </w:pPr>
            <w:r>
              <w:rPr>
                <w:rFonts w:ascii="宋体" w:hAnsi="宋体" w:eastAsia="宋体"/>
                <w:b w:val="0"/>
                <w:sz w:val="17"/>
              </w:rPr>
              <w:t>0.759</w:t>
            </w:r>
          </w:p>
        </w:tc>
        <w:tc>
          <w:tcPr>
            <w:tcW w:type="dxa" w:w="1080"/>
          </w:tcPr>
          <w:p>
            <w:pPr>
              <w:jc w:val="center"/>
            </w:pPr>
            <w:r>
              <w:rPr>
                <w:rFonts w:ascii="宋体" w:hAnsi="宋体" w:eastAsia="宋体"/>
                <w:b w:val="0"/>
                <w:sz w:val="17"/>
              </w:rPr>
              <w:t>-2.997</w:t>
            </w:r>
          </w:p>
        </w:tc>
        <w:tc>
          <w:tcPr>
            <w:tcW w:type="dxa" w:w="1080"/>
          </w:tcPr>
          <w:p>
            <w:pPr>
              <w:jc w:val="center"/>
            </w:pPr>
            <w:r>
              <w:rPr>
                <w:rFonts w:ascii="宋体" w:hAnsi="宋体" w:eastAsia="宋体"/>
                <w:b w:val="0"/>
                <w:sz w:val="17"/>
              </w:rPr>
              <w:t>-0.474</w:t>
            </w:r>
          </w:p>
        </w:tc>
        <w:tc>
          <w:tcPr>
            <w:tcW w:type="dxa" w:w="1080"/>
          </w:tcPr>
          <w:p>
            <w:pPr>
              <w:jc w:val="center"/>
            </w:pPr>
            <w:r>
              <w:rPr>
                <w:rFonts w:ascii="宋体" w:hAnsi="宋体" w:eastAsia="宋体"/>
                <w:b w:val="0"/>
                <w:sz w:val="17"/>
              </w:rPr>
              <w:t>-0.037</w:t>
            </w:r>
          </w:p>
        </w:tc>
        <w:tc>
          <w:tcPr>
            <w:tcW w:type="dxa" w:w="1080"/>
          </w:tcPr>
          <w:p>
            <w:pPr>
              <w:jc w:val="center"/>
            </w:pPr>
            <w:r>
              <w:rPr>
                <w:rFonts w:ascii="宋体" w:hAnsi="宋体" w:eastAsia="宋体"/>
                <w:b w:val="0"/>
                <w:sz w:val="17"/>
              </w:rPr>
              <w:t>0.376</w:t>
            </w:r>
          </w:p>
        </w:tc>
        <w:tc>
          <w:tcPr>
            <w:tcW w:type="dxa" w:w="1080"/>
          </w:tcPr>
          <w:p>
            <w:pPr>
              <w:jc w:val="center"/>
            </w:pPr>
            <w:r>
              <w:rPr>
                <w:rFonts w:ascii="宋体" w:hAnsi="宋体" w:eastAsia="宋体"/>
                <w:b w:val="0"/>
                <w:sz w:val="17"/>
              </w:rPr>
              <w:t>2.054</w:t>
            </w:r>
          </w:p>
        </w:tc>
      </w:tr>
    </w:tbl>
    <w:p/>
    <w:p>
      <w:pPr>
        <w:spacing w:line="360" w:lineRule="auto" w:before="0" w:after="0"/>
        <w:jc w:val="left"/>
      </w:pPr>
      <w:r>
        <w:rPr>
          <w:rFonts w:ascii="宋体" w:hAnsi="宋体" w:eastAsia="宋体"/>
          <w:b/>
          <w:sz w:val="26"/>
        </w:rPr>
        <w:t>二、RSI、MACD、布林带的计算方法与作用</w:t>
      </w:r>
    </w:p>
    <w:p>
      <w:pPr>
        <w:spacing w:line="360" w:lineRule="auto" w:before="0" w:after="0"/>
        <w:ind w:firstLine="420"/>
        <w:jc w:val="left"/>
      </w:pPr>
      <w:r>
        <w:rPr>
          <w:rFonts w:ascii="宋体" w:hAnsi="宋体" w:eastAsia="宋体"/>
          <w:b/>
          <w:sz w:val="22"/>
        </w:rPr>
        <w:t>1. RSI（相对强弱指标，Relative Strength Index）</w:t>
      </w:r>
    </w:p>
    <w:p>
      <w:pPr>
        <w:spacing w:line="360" w:lineRule="auto" w:before="0" w:after="0"/>
        <w:ind w:firstLine="420"/>
        <w:jc w:val="both"/>
      </w:pPr>
      <w:r>
        <w:rPr>
          <w:rFonts w:ascii="宋体" w:hAnsi="宋体" w:eastAsia="宋体"/>
          <w:b w:val="0"/>
          <w:sz w:val="21"/>
        </w:rPr>
        <w:t>RSI 由 Welles Wilder 提出，通过比较一段时期内价格上涨与下跌的力量强弱，衡量市场多空双方的相对强度，取值范围 0~100。计算方法（以 N=14 日为例）：首先计算每日价格变动，分别求出 N 日内的平均涨幅与平均跌幅，二者之比记为 RS，再代入下式：</w:t>
      </w:r>
    </w:p>
    <w:p>
      <w:pPr>
        <w:spacing w:line="360" w:lineRule="auto" w:before="0" w:after="0"/>
        <w:jc w:val="center"/>
      </w:pPr>
      <w:r>
        <w:rPr>
          <w:rFonts w:ascii="Cambria Math" w:hAnsi="Cambria Math" w:eastAsia="宋体"/>
          <w:i/>
          <w:sz w:val="21"/>
        </w:rPr>
        <w:t>RS = 平均涨幅 / 平均跌幅 ，   RSI = 100 − 100 / (1 + RS)</w:t>
      </w:r>
    </w:p>
    <w:p>
      <w:pPr>
        <w:spacing w:line="360" w:lineRule="auto" w:before="0" w:after="0"/>
        <w:ind w:firstLine="420"/>
        <w:jc w:val="both"/>
      </w:pPr>
      <w:r>
        <w:rPr>
          <w:rFonts w:ascii="宋体" w:hAnsi="宋体" w:eastAsia="宋体"/>
          <w:b w:val="0"/>
          <w:sz w:val="21"/>
        </w:rPr>
        <w:t>作用：RSI 主要用于判断超买超卖。通常 RSI &gt; 70 视为超买（价格可能回落），RSI &lt; 30 视为超卖（价格可能反弹）；50 为多空分界。此外，RSI 与价格的背离（价格创新高而 RSI 未创新高）常被视为趋势反转的预警信号。</w:t>
      </w:r>
    </w:p>
    <w:p>
      <w:pPr>
        <w:spacing w:line="360" w:lineRule="auto" w:before="0" w:after="0"/>
        <w:ind w:firstLine="420"/>
        <w:jc w:val="left"/>
      </w:pPr>
      <w:r>
        <w:rPr>
          <w:rFonts w:ascii="宋体" w:hAnsi="宋体" w:eastAsia="宋体"/>
          <w:b/>
          <w:sz w:val="22"/>
        </w:rPr>
        <w:t>2. MACD（指数平滑异同移动平均线，Moving Average Convergence Divergence）</w:t>
      </w:r>
    </w:p>
    <w:p>
      <w:pPr>
        <w:spacing w:line="360" w:lineRule="auto" w:before="0" w:after="0"/>
        <w:ind w:firstLine="420"/>
        <w:jc w:val="both"/>
      </w:pPr>
      <w:r>
        <w:rPr>
          <w:rFonts w:ascii="宋体" w:hAnsi="宋体" w:eastAsia="宋体"/>
          <w:b w:val="0"/>
          <w:sz w:val="21"/>
        </w:rPr>
        <w:t>MACD 由 Gerald Appel 提出，基于快、慢两条指数移动平均线（EMA）的差离来刻画趋势的方向与动能。以常用参数 (12, 26, 9) 为例，计算步骤为：</w:t>
      </w:r>
    </w:p>
    <w:p>
      <w:pPr>
        <w:spacing w:line="360" w:lineRule="auto" w:before="0" w:after="0"/>
        <w:jc w:val="center"/>
      </w:pPr>
      <w:r>
        <w:rPr>
          <w:rFonts w:ascii="Cambria Math" w:hAnsi="Cambria Math" w:eastAsia="宋体"/>
          <w:i/>
          <w:sz w:val="21"/>
        </w:rPr>
        <w:t>DIF = EMA(12) − EMA(26)</w:t>
      </w:r>
    </w:p>
    <w:p>
      <w:pPr>
        <w:spacing w:line="360" w:lineRule="auto" w:before="0" w:after="0"/>
        <w:jc w:val="center"/>
      </w:pPr>
      <w:r>
        <w:rPr>
          <w:rFonts w:ascii="Cambria Math" w:hAnsi="Cambria Math" w:eastAsia="宋体"/>
          <w:i/>
          <w:sz w:val="21"/>
        </w:rPr>
        <w:t>DEA = EMA(DIF, 9)</w:t>
      </w:r>
    </w:p>
    <w:p>
      <w:pPr>
        <w:spacing w:line="360" w:lineRule="auto" w:before="0" w:after="0"/>
        <w:jc w:val="center"/>
      </w:pPr>
      <w:r>
        <w:rPr>
          <w:rFonts w:ascii="Cambria Math" w:hAnsi="Cambria Math" w:eastAsia="宋体"/>
          <w:i/>
          <w:sz w:val="21"/>
        </w:rPr>
        <w:t>MACD 柱 = 2 × (DIF − DEA)</w:t>
      </w:r>
    </w:p>
    <w:p>
      <w:pPr>
        <w:spacing w:line="360" w:lineRule="auto" w:before="0" w:after="0"/>
        <w:ind w:firstLine="420"/>
        <w:jc w:val="both"/>
      </w:pPr>
      <w:r>
        <w:rPr>
          <w:rFonts w:ascii="宋体" w:hAnsi="宋体" w:eastAsia="宋体"/>
          <w:b w:val="0"/>
          <w:sz w:val="21"/>
        </w:rPr>
        <w:t>作用：DIF 上穿 DEA 形成“金叉”，为买入信号；DIF 下穿 DEA 形成“死叉”，为卖出信号。MACD 柱（红柱为正、绿柱为负）反映两线差距的变化，柱体由绿翻红、由红翻绿分别预示动能转强或转弱。MACD 兼具趋势跟踪与动能判断能力，是应用最广泛的中线指标之一。</w:t>
      </w:r>
    </w:p>
    <w:p>
      <w:pPr>
        <w:spacing w:line="360" w:lineRule="auto" w:before="0" w:after="0"/>
        <w:ind w:firstLine="420"/>
        <w:jc w:val="left"/>
      </w:pPr>
      <w:r>
        <w:rPr>
          <w:rFonts w:ascii="宋体" w:hAnsi="宋体" w:eastAsia="宋体"/>
          <w:b/>
          <w:sz w:val="22"/>
        </w:rPr>
        <w:t>3. 布林带（Bollinger Bands）</w:t>
      </w:r>
    </w:p>
    <w:p>
      <w:pPr>
        <w:spacing w:line="360" w:lineRule="auto" w:before="0" w:after="0"/>
        <w:ind w:firstLine="420"/>
        <w:jc w:val="both"/>
      </w:pPr>
      <w:r>
        <w:rPr>
          <w:rFonts w:ascii="宋体" w:hAnsi="宋体" w:eastAsia="宋体"/>
          <w:b w:val="0"/>
          <w:sz w:val="21"/>
        </w:rPr>
        <w:t>布林带由 John Bollinger 提出，以移动平均线为中枢、以价格标准差刻画波动区间，由中轨、上轨、下轨三条线组成。以常用参数 (20, 2) 为例：</w:t>
      </w:r>
    </w:p>
    <w:p>
      <w:pPr>
        <w:spacing w:line="360" w:lineRule="auto" w:before="0" w:after="0"/>
        <w:jc w:val="center"/>
      </w:pPr>
      <w:r>
        <w:rPr>
          <w:rFonts w:ascii="Cambria Math" w:hAnsi="Cambria Math" w:eastAsia="宋体"/>
          <w:i/>
          <w:sz w:val="21"/>
        </w:rPr>
        <w:t>中轨 = MA(20)</w:t>
      </w:r>
    </w:p>
    <w:p>
      <w:pPr>
        <w:spacing w:line="360" w:lineRule="auto" w:before="0" w:after="0"/>
        <w:jc w:val="center"/>
      </w:pPr>
      <w:r>
        <w:rPr>
          <w:rFonts w:ascii="Cambria Math" w:hAnsi="Cambria Math" w:eastAsia="宋体"/>
          <w:i/>
          <w:sz w:val="21"/>
        </w:rPr>
        <w:t>上轨 = 中轨 + 2 × σ(20) ，  下轨 = 中轨 − 2 × σ(20)</w:t>
      </w:r>
    </w:p>
    <w:p>
      <w:pPr>
        <w:spacing w:line="360" w:lineRule="auto" w:before="0" w:after="0"/>
        <w:ind w:firstLine="420"/>
        <w:jc w:val="both"/>
      </w:pPr>
      <w:r>
        <w:rPr>
          <w:rFonts w:ascii="宋体" w:hAnsi="宋体" w:eastAsia="宋体"/>
          <w:b w:val="0"/>
          <w:sz w:val="21"/>
        </w:rPr>
        <w:t>其中 σ(20) 为收盘价 20 日标准差。作用：在统计意义上，价格约 95% 的时间运行于上下轨之间。价格触及上轨往往意味着短期偏强或超买，触及下轨意味着偏弱或超卖；轨道“收窄”预示波动率降低、变盘临近，轨道“张口”则表示趋势与波动放大。布林带把趋势与波动率融为一体，常用于判断相对高低位与突破。</w:t>
      </w:r>
    </w:p>
    <w:p/>
    <w:p>
      <w:pPr>
        <w:spacing w:line="360" w:lineRule="auto" w:before="0" w:after="0"/>
        <w:jc w:val="left"/>
      </w:pPr>
      <w:r>
        <w:rPr>
          <w:rFonts w:ascii="宋体" w:hAnsi="宋体" w:eastAsia="宋体"/>
          <w:b/>
          <w:sz w:val="26"/>
        </w:rPr>
        <w:t>三、Python 编程实现与指标可视化</w:t>
      </w:r>
    </w:p>
    <w:p>
      <w:pPr>
        <w:spacing w:line="360" w:lineRule="auto" w:before="0" w:after="0"/>
        <w:ind w:firstLine="420"/>
        <w:jc w:val="both"/>
      </w:pPr>
      <w:r>
        <w:rPr>
          <w:rFonts w:ascii="宋体" w:hAnsi="宋体" w:eastAsia="宋体"/>
          <w:b w:val="0"/>
          <w:sz w:val="21"/>
        </w:rPr>
        <w:t>本部分加载 TASK1 存储的 600900_daily.csv，手工实现上述三个指标（不依赖第三方指标库，以便清晰呈现计算逻辑），并绘制可视化图形。三个指标的核心实现代码如下：</w:t>
      </w:r>
    </w:p>
    <w:p>
      <w:pPr>
        <w:spacing w:line="240" w:lineRule="auto" w:before="0" w:after="0"/>
        <w:jc w:val="left"/>
      </w:pPr>
      <w:r>
        <w:rPr>
          <w:rFonts w:ascii="Consolas" w:hAnsi="Consolas" w:eastAsia="宋体"/>
          <w:color w:val="333333"/>
          <w:sz w:val="18"/>
        </w:rPr>
        <w:t># RSI(14)：用 Wilder 平滑</w:t>
      </w:r>
    </w:p>
    <w:p>
      <w:pPr>
        <w:spacing w:line="240" w:lineRule="auto" w:before="0" w:after="0"/>
        <w:jc w:val="left"/>
      </w:pPr>
      <w:r>
        <w:rPr>
          <w:rFonts w:ascii="Consolas" w:hAnsi="Consolas" w:eastAsia="宋体"/>
          <w:color w:val="333333"/>
          <w:sz w:val="18"/>
        </w:rPr>
        <w:t>delta = close.diff()</w:t>
      </w:r>
    </w:p>
    <w:p>
      <w:pPr>
        <w:spacing w:line="240" w:lineRule="auto" w:before="0" w:after="0"/>
        <w:jc w:val="left"/>
      </w:pPr>
      <w:r>
        <w:rPr>
          <w:rFonts w:ascii="Consolas" w:hAnsi="Consolas" w:eastAsia="宋体"/>
          <w:color w:val="333333"/>
          <w:sz w:val="18"/>
        </w:rPr>
        <w:t>gain = delta.clip(lower=0); loss = -delta.clip(upper=0)</w:t>
      </w:r>
    </w:p>
    <w:p>
      <w:pPr>
        <w:spacing w:line="240" w:lineRule="auto" w:before="0" w:after="0"/>
        <w:jc w:val="left"/>
      </w:pPr>
      <w:r>
        <w:rPr>
          <w:rFonts w:ascii="Consolas" w:hAnsi="Consolas" w:eastAsia="宋体"/>
          <w:color w:val="333333"/>
          <w:sz w:val="18"/>
        </w:rPr>
        <w:t>avg_gain = gain.ewm(alpha=1/14, adjust=False).mean()</w:t>
      </w:r>
    </w:p>
    <w:p>
      <w:pPr>
        <w:spacing w:line="240" w:lineRule="auto" w:before="0" w:after="0"/>
        <w:jc w:val="left"/>
      </w:pPr>
      <w:r>
        <w:rPr>
          <w:rFonts w:ascii="Consolas" w:hAnsi="Consolas" w:eastAsia="宋体"/>
          <w:color w:val="333333"/>
          <w:sz w:val="18"/>
        </w:rPr>
        <w:t>avg_loss = loss.ewm(alpha=1/14, adjust=False).mean()</w:t>
      </w:r>
    </w:p>
    <w:p>
      <w:pPr>
        <w:spacing w:line="240" w:lineRule="auto" w:before="0" w:after="0"/>
        <w:jc w:val="left"/>
      </w:pPr>
      <w:r>
        <w:rPr>
          <w:rFonts w:ascii="Consolas" w:hAnsi="Consolas" w:eastAsia="宋体"/>
          <w:color w:val="333333"/>
          <w:sz w:val="18"/>
        </w:rPr>
        <w:t>rsi = 100 - 100 / (1 + avg_gain/avg_loss)</w:t>
      </w:r>
    </w:p>
    <w:p>
      <w:pPr>
        <w:spacing w:line="240" w:lineRule="auto" w:before="0" w:after="0"/>
        <w:jc w:val="left"/>
      </w:pPr>
      <w:r>
        <w:rPr>
          <w:rFonts w:ascii="Consolas" w:hAnsi="Consolas" w:eastAsia="宋体"/>
          <w:color w:val="333333"/>
          <w:sz w:val="18"/>
        </w:rPr>
        <w:t xml:space="preserve"> </w:t>
      </w:r>
    </w:p>
    <w:p>
      <w:pPr>
        <w:spacing w:line="240" w:lineRule="auto" w:before="0" w:after="0"/>
        <w:jc w:val="left"/>
      </w:pPr>
      <w:r>
        <w:rPr>
          <w:rFonts w:ascii="Consolas" w:hAnsi="Consolas" w:eastAsia="宋体"/>
          <w:color w:val="333333"/>
          <w:sz w:val="18"/>
        </w:rPr>
        <w:t># MACD(12,26,9)</w:t>
      </w:r>
    </w:p>
    <w:p>
      <w:pPr>
        <w:spacing w:line="240" w:lineRule="auto" w:before="0" w:after="0"/>
        <w:jc w:val="left"/>
      </w:pPr>
      <w:r>
        <w:rPr>
          <w:rFonts w:ascii="Consolas" w:hAnsi="Consolas" w:eastAsia="宋体"/>
          <w:color w:val="333333"/>
          <w:sz w:val="18"/>
        </w:rPr>
        <w:t>dif = close.ewm(span=12).mean() - close.ewm(span=26).mean()</w:t>
      </w:r>
    </w:p>
    <w:p>
      <w:pPr>
        <w:spacing w:line="240" w:lineRule="auto" w:before="0" w:after="0"/>
        <w:jc w:val="left"/>
      </w:pPr>
      <w:r>
        <w:rPr>
          <w:rFonts w:ascii="Consolas" w:hAnsi="Consolas" w:eastAsia="宋体"/>
          <w:color w:val="333333"/>
          <w:sz w:val="18"/>
        </w:rPr>
        <w:t>dea = dif.ewm(span=9).mean()</w:t>
      </w:r>
    </w:p>
    <w:p>
      <w:pPr>
        <w:spacing w:line="240" w:lineRule="auto" w:before="0" w:after="0"/>
        <w:jc w:val="left"/>
      </w:pPr>
      <w:r>
        <w:rPr>
          <w:rFonts w:ascii="Consolas" w:hAnsi="Consolas" w:eastAsia="宋体"/>
          <w:color w:val="333333"/>
          <w:sz w:val="18"/>
        </w:rPr>
        <w:t>hist = (dif - dea) * 2</w:t>
      </w:r>
    </w:p>
    <w:p>
      <w:pPr>
        <w:spacing w:line="240" w:lineRule="auto" w:before="0" w:after="0"/>
        <w:jc w:val="left"/>
      </w:pPr>
      <w:r>
        <w:rPr>
          <w:rFonts w:ascii="Consolas" w:hAnsi="Consolas" w:eastAsia="宋体"/>
          <w:color w:val="333333"/>
          <w:sz w:val="18"/>
        </w:rPr>
        <w:t xml:space="preserve"> </w:t>
      </w:r>
    </w:p>
    <w:p>
      <w:pPr>
        <w:spacing w:line="240" w:lineRule="auto" w:before="0" w:after="0"/>
        <w:jc w:val="left"/>
      </w:pPr>
      <w:r>
        <w:rPr>
          <w:rFonts w:ascii="Consolas" w:hAnsi="Consolas" w:eastAsia="宋体"/>
          <w:color w:val="333333"/>
          <w:sz w:val="18"/>
        </w:rPr>
        <w:t># 布林带(20,2)</w:t>
      </w:r>
    </w:p>
    <w:p>
      <w:pPr>
        <w:spacing w:line="240" w:lineRule="auto" w:before="0" w:after="0"/>
        <w:jc w:val="left"/>
      </w:pPr>
      <w:r>
        <w:rPr>
          <w:rFonts w:ascii="Consolas" w:hAnsi="Consolas" w:eastAsia="宋体"/>
          <w:color w:val="333333"/>
          <w:sz w:val="18"/>
        </w:rPr>
        <w:t>mid = close.rolling(20).mean(); std = close.rolling(20).std()</w:t>
      </w:r>
    </w:p>
    <w:p>
      <w:pPr>
        <w:spacing w:line="240" w:lineRule="auto" w:before="0" w:after="0"/>
        <w:jc w:val="left"/>
      </w:pPr>
      <w:r>
        <w:rPr>
          <w:rFonts w:ascii="Consolas" w:hAnsi="Consolas" w:eastAsia="宋体"/>
          <w:color w:val="333333"/>
          <w:sz w:val="18"/>
        </w:rPr>
        <w:t>upper = mid + 2*std; lower = mid - 2*std</w:t>
      </w:r>
    </w:p>
    <w:p>
      <w:pPr>
        <w:spacing w:line="360" w:lineRule="auto" w:before="0" w:after="0"/>
        <w:ind w:firstLine="420"/>
        <w:jc w:val="left"/>
      </w:pPr>
      <w:r>
        <w:rPr>
          <w:rFonts w:ascii="宋体" w:hAnsi="宋体" w:eastAsia="宋体"/>
          <w:b/>
          <w:sz w:val="22"/>
        </w:rPr>
        <w:t>1. RSI 指标可视化</w:t>
      </w:r>
    </w:p>
    <w:p>
      <w:pPr>
        <w:spacing w:line="360" w:lineRule="auto" w:before="0" w:after="0"/>
        <w:jc w:val="center"/>
      </w:pPr>
      <w:r>
        <w:drawing>
          <wp:inline xmlns:a="http://schemas.openxmlformats.org/drawingml/2006/main" xmlns:pic="http://schemas.openxmlformats.org/drawingml/2006/picture">
            <wp:extent cx="5577840" cy="3530926"/>
            <wp:docPr id="1" name="Picture 1"/>
            <wp:cNvGraphicFramePr>
              <a:graphicFrameLocks noChangeAspect="1"/>
            </wp:cNvGraphicFramePr>
            <a:graphic>
              <a:graphicData uri="http://schemas.openxmlformats.org/drawingml/2006/picture">
                <pic:pic>
                  <pic:nvPicPr>
                    <pic:cNvPr id="0" name="rsi.png"/>
                    <pic:cNvPicPr/>
                  </pic:nvPicPr>
                  <pic:blipFill>
                    <a:blip r:embed="rId9"/>
                    <a:stretch>
                      <a:fillRect/>
                    </a:stretch>
                  </pic:blipFill>
                  <pic:spPr>
                    <a:xfrm>
                      <a:off x="0" y="0"/>
                      <a:ext cx="5577840" cy="3530926"/>
                    </a:xfrm>
                    <a:prstGeom prst="rect"/>
                  </pic:spPr>
                </pic:pic>
              </a:graphicData>
            </a:graphic>
          </wp:inline>
        </w:drawing>
      </w:r>
    </w:p>
    <w:p>
      <w:pPr>
        <w:spacing w:line="360" w:lineRule="auto" w:before="0" w:after="0"/>
        <w:jc w:val="center"/>
      </w:pPr>
      <w:r>
        <w:rPr>
          <w:rFonts w:ascii="宋体" w:hAnsi="宋体" w:eastAsia="宋体"/>
          <w:b/>
          <w:sz w:val="18"/>
        </w:rPr>
        <w:t>图 1　长江电力收盘价与 RSI(14) 指标</w:t>
      </w:r>
    </w:p>
    <w:p>
      <w:pPr>
        <w:spacing w:line="360" w:lineRule="auto" w:before="0" w:after="0"/>
        <w:ind w:firstLine="420"/>
        <w:jc w:val="both"/>
      </w:pPr>
      <w:r>
        <w:rPr>
          <w:rFonts w:ascii="宋体" w:hAnsi="宋体" w:eastAsia="宋体"/>
          <w:b w:val="0"/>
          <w:sz w:val="21"/>
        </w:rPr>
        <w:t>如图 1，样本期内 RSI 全程未突破 70 超买线（最高约 69.3），却有 17 个交易日跌破 30 超卖线（最低约 21.3），主要集中在 2026 年 1—2 月股价探底阶段——这与该股当时创出年内低点 25.65 元相互印证，超卖信号出现后价格随即企稳回升，显示 RSI 对短期底部具有一定提示作用。整体 RSI 多在 30~65 区间运行，符合震荡偏弱行情的特征。</w:t>
      </w:r>
    </w:p>
    <w:p>
      <w:pPr>
        <w:spacing w:line="360" w:lineRule="auto" w:before="0" w:after="0"/>
        <w:ind w:firstLine="420"/>
        <w:jc w:val="left"/>
      </w:pPr>
      <w:r>
        <w:rPr>
          <w:rFonts w:ascii="宋体" w:hAnsi="宋体" w:eastAsia="宋体"/>
          <w:b/>
          <w:sz w:val="22"/>
        </w:rPr>
        <w:t>2. MACD 指标可视化</w:t>
      </w:r>
    </w:p>
    <w:p>
      <w:pPr>
        <w:spacing w:line="360" w:lineRule="auto" w:before="0" w:after="0"/>
        <w:jc w:val="center"/>
      </w:pPr>
      <w:r>
        <w:drawing>
          <wp:inline xmlns:a="http://schemas.openxmlformats.org/drawingml/2006/main" xmlns:pic="http://schemas.openxmlformats.org/drawingml/2006/picture">
            <wp:extent cx="5577840" cy="3530926"/>
            <wp:docPr id="2" name="Picture 2"/>
            <wp:cNvGraphicFramePr>
              <a:graphicFrameLocks noChangeAspect="1"/>
            </wp:cNvGraphicFramePr>
            <a:graphic>
              <a:graphicData uri="http://schemas.openxmlformats.org/drawingml/2006/picture">
                <pic:pic>
                  <pic:nvPicPr>
                    <pic:cNvPr id="0" name="macd.png"/>
                    <pic:cNvPicPr/>
                  </pic:nvPicPr>
                  <pic:blipFill>
                    <a:blip r:embed="rId10"/>
                    <a:stretch>
                      <a:fillRect/>
                    </a:stretch>
                  </pic:blipFill>
                  <pic:spPr>
                    <a:xfrm>
                      <a:off x="0" y="0"/>
                      <a:ext cx="5577840" cy="3530926"/>
                    </a:xfrm>
                    <a:prstGeom prst="rect"/>
                  </pic:spPr>
                </pic:pic>
              </a:graphicData>
            </a:graphic>
          </wp:inline>
        </w:drawing>
      </w:r>
    </w:p>
    <w:p>
      <w:pPr>
        <w:spacing w:line="360" w:lineRule="auto" w:before="0" w:after="0"/>
        <w:jc w:val="center"/>
      </w:pPr>
      <w:r>
        <w:rPr>
          <w:rFonts w:ascii="宋体" w:hAnsi="宋体" w:eastAsia="宋体"/>
          <w:b/>
          <w:sz w:val="18"/>
        </w:rPr>
        <w:t>图 2　长江电力收盘价与 MACD(12,26,9) 指标</w:t>
      </w:r>
    </w:p>
    <w:p>
      <w:pPr>
        <w:spacing w:line="360" w:lineRule="auto" w:before="0" w:after="0"/>
        <w:ind w:firstLine="420"/>
        <w:jc w:val="both"/>
      </w:pPr>
      <w:r>
        <w:rPr>
          <w:rFonts w:ascii="宋体" w:hAnsi="宋体" w:eastAsia="宋体"/>
          <w:b w:val="0"/>
          <w:sz w:val="21"/>
        </w:rPr>
        <w:t>如图 2，样本期内 DIF 与 DEA 共发生约 7 次金叉与 7 次死叉，金叉多出现在阶段性底部（如 2025 年 9 月、2026 年 3 月），死叉多出现在阶段性顶部，与股价的波段起落基本吻合。MACD 柱由绿翻红对应动能转强、由红翻绿对应动能转弱。需要注意的是，在 2025 年 10—12 月的窄幅震荡中，MACD 出现较多小幅金叉死叉，属于震荡行情中的“假信号”，提示该指标在无趋势市中需结合其他工具过滤噪音。</w:t>
      </w:r>
    </w:p>
    <w:p>
      <w:pPr>
        <w:spacing w:line="360" w:lineRule="auto" w:before="0" w:after="0"/>
        <w:ind w:firstLine="420"/>
        <w:jc w:val="left"/>
      </w:pPr>
      <w:r>
        <w:rPr>
          <w:rFonts w:ascii="宋体" w:hAnsi="宋体" w:eastAsia="宋体"/>
          <w:b/>
          <w:sz w:val="22"/>
        </w:rPr>
        <w:t>3. 布林带可视化</w:t>
      </w:r>
    </w:p>
    <w:p>
      <w:pPr>
        <w:spacing w:line="360" w:lineRule="auto" w:before="0" w:after="0"/>
        <w:jc w:val="center"/>
      </w:pPr>
      <w:r>
        <w:drawing>
          <wp:inline xmlns:a="http://schemas.openxmlformats.org/drawingml/2006/main" xmlns:pic="http://schemas.openxmlformats.org/drawingml/2006/picture">
            <wp:extent cx="5577840" cy="2759922"/>
            <wp:docPr id="3" name="Picture 3"/>
            <wp:cNvGraphicFramePr>
              <a:graphicFrameLocks noChangeAspect="1"/>
            </wp:cNvGraphicFramePr>
            <a:graphic>
              <a:graphicData uri="http://schemas.openxmlformats.org/drawingml/2006/picture">
                <pic:pic>
                  <pic:nvPicPr>
                    <pic:cNvPr id="0" name="boll.png"/>
                    <pic:cNvPicPr/>
                  </pic:nvPicPr>
                  <pic:blipFill>
                    <a:blip r:embed="rId11"/>
                    <a:stretch>
                      <a:fillRect/>
                    </a:stretch>
                  </pic:blipFill>
                  <pic:spPr>
                    <a:xfrm>
                      <a:off x="0" y="0"/>
                      <a:ext cx="5577840" cy="2759922"/>
                    </a:xfrm>
                    <a:prstGeom prst="rect"/>
                  </pic:spPr>
                </pic:pic>
              </a:graphicData>
            </a:graphic>
          </wp:inline>
        </w:drawing>
      </w:r>
    </w:p>
    <w:p>
      <w:pPr>
        <w:spacing w:line="360" w:lineRule="auto" w:before="0" w:after="0"/>
        <w:jc w:val="center"/>
      </w:pPr>
      <w:r>
        <w:rPr>
          <w:rFonts w:ascii="宋体" w:hAnsi="宋体" w:eastAsia="宋体"/>
          <w:b/>
          <w:sz w:val="18"/>
        </w:rPr>
        <w:t>图 3　长江电力布林带 Bollinger Bands(20,2)</w:t>
      </w:r>
    </w:p>
    <w:p>
      <w:pPr>
        <w:spacing w:line="360" w:lineRule="auto" w:before="0" w:after="0"/>
        <w:ind w:firstLine="420"/>
        <w:jc w:val="both"/>
      </w:pPr>
      <w:r>
        <w:rPr>
          <w:rFonts w:ascii="宋体" w:hAnsi="宋体" w:eastAsia="宋体"/>
          <w:b w:val="0"/>
          <w:sz w:val="21"/>
        </w:rPr>
        <w:t>如图 3，收盘价绝大多数时间运行于上下轨构成的通道内，与“约 95% 时间处于带内”的统计规律一致。样本期内价格触及或突破上轨约 6 次（多为阶段高点），触及或跌破下轨约 17 次（多为阶段低点，集中于 2026 年初的下跌段）。2026 年 2 月股价跌破下轨后快速收回，是典型的超跌反弹；而在 2025 年 12 月至 2026 年 1 月，可见带宽明显收窄后随即张口下行，直观展示了“先收口、后变盘”的波动率变化过程。</w:t>
      </w:r>
    </w:p>
    <w:p/>
    <w:p>
      <w:pPr>
        <w:spacing w:line="360" w:lineRule="auto" w:before="0" w:after="0"/>
        <w:jc w:val="left"/>
      </w:pPr>
      <w:r>
        <w:rPr>
          <w:rFonts w:ascii="宋体" w:hAnsi="宋体" w:eastAsia="宋体"/>
          <w:b/>
          <w:sz w:val="26"/>
        </w:rPr>
        <w:t>四、扩展指标：KDJ 随机指标</w:t>
      </w:r>
    </w:p>
    <w:p>
      <w:pPr>
        <w:spacing w:line="360" w:lineRule="auto" w:before="0" w:after="0"/>
        <w:ind w:firstLine="420"/>
        <w:jc w:val="both"/>
      </w:pPr>
      <w:r>
        <w:rPr>
          <w:rFonts w:ascii="宋体" w:hAnsi="宋体" w:eastAsia="宋体"/>
          <w:b w:val="0"/>
          <w:sz w:val="21"/>
        </w:rPr>
        <w:t>除上述三个指标外，常见的技术指标还包括 KDJ（随机指标）、DMA、OBV（能量潮）、威廉指标 %R、乖离率 BIAS、ATR（真实波动幅度）、CCI（顺势指标）等。本部分选取应用十分广泛的 KDJ 指标进行介绍与实现。</w:t>
      </w:r>
    </w:p>
    <w:p>
      <w:pPr>
        <w:spacing w:line="360" w:lineRule="auto" w:before="0" w:after="0"/>
        <w:ind w:firstLine="420"/>
        <w:jc w:val="both"/>
      </w:pPr>
      <w:r>
        <w:rPr>
          <w:rFonts w:ascii="宋体" w:hAnsi="宋体" w:eastAsia="宋体"/>
          <w:b w:val="0"/>
          <w:sz w:val="21"/>
        </w:rPr>
        <w:t>KDJ 由 George Lane 提出，综合了动量、强弱与移动平均的思想，对价格在近期高低区间中所处的位置更为敏感。以参数 (9, 3, 3) 为例，计算步骤为：先求 N=9 日内的未成熟随机值 RSV，再对其平滑得到 K、D，并由 K、D 线性组合得到 J：</w:t>
      </w:r>
    </w:p>
    <w:p>
      <w:pPr>
        <w:spacing w:line="360" w:lineRule="auto" w:before="0" w:after="0"/>
        <w:jc w:val="center"/>
      </w:pPr>
      <w:r>
        <w:rPr>
          <w:rFonts w:ascii="Cambria Math" w:hAnsi="Cambria Math" w:eastAsia="宋体"/>
          <w:i/>
          <w:sz w:val="21"/>
        </w:rPr>
        <w:t>RSV = (收盘价 − 9日最低价) / (9日最高价 − 9日最低价) × 100</w:t>
      </w:r>
    </w:p>
    <w:p>
      <w:pPr>
        <w:spacing w:line="360" w:lineRule="auto" w:before="0" w:after="0"/>
        <w:jc w:val="center"/>
      </w:pPr>
      <w:r>
        <w:rPr>
          <w:rFonts w:ascii="Cambria Math" w:hAnsi="Cambria Math" w:eastAsia="宋体"/>
          <w:i/>
          <w:sz w:val="21"/>
        </w:rPr>
        <w:t>K = SMA(RSV, 3) ， D = SMA(K, 3) ， J = 3K − 2D</w:t>
      </w:r>
    </w:p>
    <w:p>
      <w:pPr>
        <w:spacing w:line="360" w:lineRule="auto" w:before="0" w:after="0"/>
        <w:ind w:firstLine="420"/>
        <w:jc w:val="both"/>
      </w:pPr>
      <w:r>
        <w:rPr>
          <w:rFonts w:ascii="宋体" w:hAnsi="宋体" w:eastAsia="宋体"/>
          <w:b w:val="0"/>
          <w:sz w:val="21"/>
        </w:rPr>
        <w:t>作用：KDJ 主要用于判断超买超卖与捕捉转折。通常 K、D 在 80 以上为超买区、20 以下为超卖区；K 上穿 D 为金叉（买入），K 下穿 D 为死叉（卖出）。J 值波动最快、最灵敏，常作为领先信号。KDJ 在震荡行情中表现尤佳，但在单边强趋势中易出现“钝化”。实现代码如下：</w:t>
      </w:r>
    </w:p>
    <w:p>
      <w:pPr>
        <w:spacing w:line="240" w:lineRule="auto" w:before="0" w:after="0"/>
        <w:jc w:val="left"/>
      </w:pPr>
      <w:r>
        <w:rPr>
          <w:rFonts w:ascii="Consolas" w:hAnsi="Consolas" w:eastAsia="宋体"/>
          <w:color w:val="333333"/>
          <w:sz w:val="18"/>
        </w:rPr>
        <w:t>low_n = df["low"].rolling(9).min()</w:t>
      </w:r>
    </w:p>
    <w:p>
      <w:pPr>
        <w:spacing w:line="240" w:lineRule="auto" w:before="0" w:after="0"/>
        <w:jc w:val="left"/>
      </w:pPr>
      <w:r>
        <w:rPr>
          <w:rFonts w:ascii="Consolas" w:hAnsi="Consolas" w:eastAsia="宋体"/>
          <w:color w:val="333333"/>
          <w:sz w:val="18"/>
        </w:rPr>
        <w:t>high_n = df["high"].rolling(9).max()</w:t>
      </w:r>
    </w:p>
    <w:p>
      <w:pPr>
        <w:spacing w:line="240" w:lineRule="auto" w:before="0" w:after="0"/>
        <w:jc w:val="left"/>
      </w:pPr>
      <w:r>
        <w:rPr>
          <w:rFonts w:ascii="Consolas" w:hAnsi="Consolas" w:eastAsia="宋体"/>
          <w:color w:val="333333"/>
          <w:sz w:val="18"/>
        </w:rPr>
        <w:t>rsv = (df["close"] - low_n) / (high_n - low_n) * 100</w:t>
      </w:r>
    </w:p>
    <w:p>
      <w:pPr>
        <w:spacing w:line="240" w:lineRule="auto" w:before="0" w:after="0"/>
        <w:jc w:val="left"/>
      </w:pPr>
      <w:r>
        <w:rPr>
          <w:rFonts w:ascii="Consolas" w:hAnsi="Consolas" w:eastAsia="宋体"/>
          <w:color w:val="333333"/>
          <w:sz w:val="18"/>
        </w:rPr>
        <w:t>k = rsv.ewm(alpha=1/3, adjust=False).mean()</w:t>
      </w:r>
    </w:p>
    <w:p>
      <w:pPr>
        <w:spacing w:line="240" w:lineRule="auto" w:before="0" w:after="0"/>
        <w:jc w:val="left"/>
      </w:pPr>
      <w:r>
        <w:rPr>
          <w:rFonts w:ascii="Consolas" w:hAnsi="Consolas" w:eastAsia="宋体"/>
          <w:color w:val="333333"/>
          <w:sz w:val="18"/>
        </w:rPr>
        <w:t>d = k.ewm(alpha=1/3, adjust=False).mean()</w:t>
      </w:r>
    </w:p>
    <w:p>
      <w:pPr>
        <w:spacing w:line="240" w:lineRule="auto" w:before="0" w:after="0"/>
        <w:jc w:val="left"/>
      </w:pPr>
      <w:r>
        <w:rPr>
          <w:rFonts w:ascii="Consolas" w:hAnsi="Consolas" w:eastAsia="宋体"/>
          <w:color w:val="333333"/>
          <w:sz w:val="18"/>
        </w:rPr>
        <w:t>j = 3*k - 2*d</w:t>
      </w:r>
    </w:p>
    <w:p>
      <w:pPr>
        <w:spacing w:line="360" w:lineRule="auto" w:before="0" w:after="0"/>
        <w:jc w:val="center"/>
      </w:pPr>
      <w:r>
        <w:drawing>
          <wp:inline xmlns:a="http://schemas.openxmlformats.org/drawingml/2006/main" xmlns:pic="http://schemas.openxmlformats.org/drawingml/2006/picture">
            <wp:extent cx="5577840" cy="3530926"/>
            <wp:docPr id="4" name="Picture 4"/>
            <wp:cNvGraphicFramePr>
              <a:graphicFrameLocks noChangeAspect="1"/>
            </wp:cNvGraphicFramePr>
            <a:graphic>
              <a:graphicData uri="http://schemas.openxmlformats.org/drawingml/2006/picture">
                <pic:pic>
                  <pic:nvPicPr>
                    <pic:cNvPr id="0" name="kdj.png"/>
                    <pic:cNvPicPr/>
                  </pic:nvPicPr>
                  <pic:blipFill>
                    <a:blip r:embed="rId12"/>
                    <a:stretch>
                      <a:fillRect/>
                    </a:stretch>
                  </pic:blipFill>
                  <pic:spPr>
                    <a:xfrm>
                      <a:off x="0" y="0"/>
                      <a:ext cx="5577840" cy="3530926"/>
                    </a:xfrm>
                    <a:prstGeom prst="rect"/>
                  </pic:spPr>
                </pic:pic>
              </a:graphicData>
            </a:graphic>
          </wp:inline>
        </w:drawing>
      </w:r>
    </w:p>
    <w:p>
      <w:pPr>
        <w:spacing w:line="360" w:lineRule="auto" w:before="0" w:after="0"/>
        <w:jc w:val="center"/>
      </w:pPr>
      <w:r>
        <w:rPr>
          <w:rFonts w:ascii="宋体" w:hAnsi="宋体" w:eastAsia="宋体"/>
          <w:b/>
          <w:sz w:val="18"/>
        </w:rPr>
        <w:t>图 4　长江电力收盘价与 KDJ(9,3,3) 指标</w:t>
      </w:r>
    </w:p>
    <w:p>
      <w:pPr>
        <w:spacing w:line="360" w:lineRule="auto" w:before="0" w:after="0"/>
        <w:ind w:firstLine="420"/>
        <w:jc w:val="both"/>
      </w:pPr>
      <w:r>
        <w:rPr>
          <w:rFonts w:ascii="宋体" w:hAnsi="宋体" w:eastAsia="宋体"/>
          <w:b w:val="0"/>
          <w:sz w:val="21"/>
        </w:rPr>
        <w:t>如图 4，样本期内 K 值有 13 个交易日进入 80 以上超买区、40 个交易日跌入 20 以下超卖区，与该股震荡偏弱、底部区域停留时间较长的走势相符。J 线波动幅度最大，频繁在 0~100 之外穿刺，灵敏地领先于 K、D 反映短期拐点。K 与 D 的金叉、死叉与股价的短线波段有较好的对应关系，验证了 KDJ 在震荡市中较强的择时能力。</w:t>
      </w:r>
    </w:p>
    <w:p/>
    <w:p>
      <w:pPr>
        <w:spacing w:line="360" w:lineRule="auto" w:before="0" w:after="0"/>
        <w:jc w:val="left"/>
      </w:pPr>
      <w:r>
        <w:rPr>
          <w:rFonts w:ascii="宋体" w:hAnsi="宋体" w:eastAsia="宋体"/>
          <w:b/>
          <w:sz w:val="26"/>
        </w:rPr>
        <w:t>五、小结</w:t>
      </w:r>
    </w:p>
    <w:p>
      <w:pPr>
        <w:spacing w:line="360" w:lineRule="auto" w:before="0" w:after="0"/>
        <w:ind w:firstLine="420"/>
        <w:jc w:val="both"/>
      </w:pPr>
      <w:r>
        <w:rPr>
          <w:rFonts w:ascii="宋体" w:hAnsi="宋体" w:eastAsia="宋体"/>
          <w:b w:val="0"/>
          <w:sz w:val="21"/>
        </w:rPr>
        <w:t>本次任务完成了从数据诊断到指标构造的完整“数据炼金”流程：先确认了数据的完整性与统计特征，再从原理、计算方法到编程实现，系统地构建并可视化了 RSI、MACD、布林带三大主流指标，并扩展实现了 KDJ 指标。四个指标从不同角度（超买超卖、趋势动能、波动区间、随机强弱）刻画了长江电力近一年的市场状态，彼此印证又各有侧重。这些指标为后续的交易信号生成与策略回测提供了直接可用的特征基础。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