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2"/>
        </w:rPr>
        <w:t>策略首秀：用均线交叉反应市场趋势变化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  <w:t>北京大学 AI 量化工作坊 · TASK3　　姓名：张哲铭</w:t>
      </w:r>
    </w:p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本任务在前两次工作坊（搭建数据引擎、数据诊断与指标构造）的基础上，迈出策略开发的第一步：系统学习并实现经典的双均线（Dual Moving Average）交叉策略，用金叉、死叉信号捕捉市场趋势变化，并以最大回撤、夏普比率、累计回报、超额收益、胜率、盈亏比等指标全面评估策略表现。为使结论更可靠，本文先检索了均线策略的重要学术文献，明确其在何种标的上更有效，随后对黄金 ETF、腾讯控股、纳指 ETF、科创 50、沪深 300、中证 500 等 8 个标的、短/中/长三组均线周期共 24 组参数进行了实证回测。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一、双均线策略：金叉与死叉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移动平均线（Moving Average, MA）是把最近 N 个交易日的收盘价取算术平均得到的一条平滑曲线，它过滤了单日价格的随机噪音，反映一段时间内价格的“平均成本”与趋势方向。均线周期越短，对价格变化越敏感、越贴近行情；周期越长，越平滑、越能代表中长期趋势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双均线策略同时使用两条不同周期的均线：一条较短（如 MA5、MA20，称“快线”），一条较长（如 MA20、MA60，称“慢线”）。二者的相对位置刻画了短期动能与长期趋势的关系，其交叉点即为交易信号：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· 金叉（Golden Cross）——买入信号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当短期均线由下向上穿越长期均线时，形成“金叉”。它意味着近期价格上涨的动能已强于中长期均值，市场趋势可能由弱转强、由跌转涨，是经典的做多（买入）信号。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· 死叉（Death Cross）——卖出信号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当短期均线由上向下穿越长期均线时，形成“死叉”。它意味着近期动能已弱于中长期均值，趋势可能由强转弱、由涨转跌，是经典的做空或平仓（卖出）信号。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双均线策略的本质是一种“趋势跟踪”：金叉后满仓持有、死叉后清仓空仓，力求“截断亏损、让利润奔跑”，在单边上涨行情中吃到主升浪、在下跌行情中及时离场规避风险。它不预测顶底，只对已经发生的趋势变化做出反应，因而天然存在“滞后性”——这也是后文实证中需要重点评估的代价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二、量化策略评估的核心指标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评价一个策略不能只看“赚了多少”，还要看“冒了多大风险、是否稳定、是否真的比躺着不动更强”。本文采用以下一整套指标进行评估：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累计回报（Cumulative Return）与总收益率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指从期初到期末，策略净值累计增长的比例。若初始净值为 1、期末净值为 V，则累计回报 = V − 1。它是最直观的盈利结果，但没有考虑时间长度与风险。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净值曲线：Equity_t = Π(1 + r_i)，  累计回报 = Equity_末 − 1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年化收益率（Annualized Return）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把不同时间长度的收益折算到“每年”的标准口径，便于横向比较。以 252 个交易日为一年：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年化收益率 = (1 + 累计回报) ^ (252 / 交易天数) − 1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最大回撤（Maximum Drawdown, MDD）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指净值曲线从历史最高点回落到之后最低点的最大跌幅，衡量策略“最坏情况下会亏多少”，是刻画下行风险与持有煎熬程度的关键指标。MDD 越小（越接近 0），资金曲线越稳、回撤控制越好。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MDD = min_t ( Equity_t / max_{s≤t} Equity_s − 1 )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夏普比率（Sharpe Ratio）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由诺贝尔经济学奖得主 William Sharpe 提出，衡量“每承担一单位波动风险，能换来多少超额收益”，是风险调整后收益的核心标尺。数值越高越好，一般认为大于 1 即较为优秀。计算时以无风险利率为基准（教学场景取 0），用日收益的均值除以标准差再年化：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夏普比率 = (策略日收益均值 − 无风险日利率) / 策略日收益标准差 × √252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5. 超额收益（Excess Return）——策略是否真的“有本事”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这是本文特别强调的指标。一只标的本身可能就是大牛股，即使什么都不做、一直满仓持有也能赚很多。为了区分“收益到底是策略择时带来的，还是标的本身优秀带来的”，本文定义：</w:t>
      </w:r>
    </w:p>
    <w:p>
      <w:pPr>
        <w:spacing w:line="360" w:lineRule="auto" w:before="0" w:after="0"/>
        <w:jc w:val="center"/>
      </w:pPr>
      <w:r>
        <w:rPr>
          <w:rFonts w:ascii="Cambria Math" w:hAnsi="Cambria Math" w:eastAsia="宋体"/>
          <w:i/>
          <w:sz w:val="21"/>
        </w:rPr>
        <w:t>超额收益 = 策略年化收益 − 买入持有（Buy&amp;Hold）年化收益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超额收益为正，说明策略的择时确实创造了价值、跑赢了“躺平”；为负，则说明频繁进出反而不如一直持有。它把“标的 β”从“策略 α”中剥离出来，是判断策略真实能力最诚实的一把尺子。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6. 胜率（Win Rate）与盈亏比（Profit/Loss Ratio）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胜率 = 盈利交易笔数 / 总交易笔数，反映“做对的概率”；盈亏比 = 平均每笔盈利 / 平均每笔亏损，反映“做对时赚得多、做错时亏得少”的程度。趋势跟踪策略的典型特征是“胜率不高但盈亏比很高”——靠少数几次抓住大趋势的盈利，覆盖多次小幅止损，这一点在后文黄金 ETF 的结果中体现得非常明显。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三、Python 编程实现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文的回测引擎完全手工实现（strategy.py），核心分为五步：加载数据、计算双均线、生成金叉死叉信号、按“信号次日生效”建立仓位、计入交易成本后累乘得到净值曲线。为杜绝“未来函数”（用当天才知道的信息去交易当天），第 t 日收盘后产生的信号在第 t+1 日才实际建仓或平仓，通过 position = signal.shift(1) 实现；同时在仓位发生变化的当日扣除单边万分之五的交易成本。核心代码如下：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1) 计算短、长均线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ma_short = close.rolling(short).mean()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ma_long  = close.rolling(long).mean()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2) 金叉/死叉信号：短均线在长均线之上则持仓状态=1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raw = (ma_short &gt; ma_long).astype(int)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cross = raw.diff()          # +1 金叉当日, -1 死叉当日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3) 信号次日生效，避免未来函数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position = raw.shift(1).fillna(0)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4) 计入交易成本后的策略日收益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ret = close.pct_change()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trade = position.diff().abs()          # 仓位变化 -&gt; 发生交易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strat_ret = position * ret - trade * 0.0005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 xml:space="preserve"> 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# 5) 净值曲线（策略 vs 买入持有基准）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equity       = (1 + strat_ret).cumprod()</w:t>
      </w:r>
    </w:p>
    <w:p>
      <w:pPr>
        <w:spacing w:line="240" w:lineRule="auto" w:before="0" w:after="0"/>
        <w:jc w:val="left"/>
      </w:pPr>
      <w:r>
        <w:rPr>
          <w:rFonts w:ascii="Consolas" w:hAnsi="Consolas" w:eastAsia="宋体"/>
          <w:color w:val="333333"/>
          <w:sz w:val="18"/>
        </w:rPr>
        <w:t>bench_equity = (1 + ret).cumprod()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数据方面，本文通过腾讯自选股行情接口获取 8 个标的近 8 年（多数为 2018-04 至 2026-07，共约 2000 个交易日）的前复权日线数据。前复权可消除分红、拆股对价格的跳变影响，使均线计算与收益回测更准确。下面以黄金 ETF（518880）的中线参数（MA20×MA60）为例，展示价格、双均线与买卖信号的可视化。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63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h5188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1　黄金 ETF（518880）双均线交易信号（MA20×MA60）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如图 1，红色上三角为金叉买入点、绿色下三角为死叉卖出点。可以清晰看到：在 2018—2019 与 2021—2023 的横盘震荡期，均线频繁交叉、产生了较多“来回打脸”的假信号；而在 2019—2020 与 2024—2026 的两轮单边上涨中，金叉后价格持续走高、策略得以长期持有并吃到主升浪，直到 2026 年中价格见顶回落时死叉离场。这直观展示了双均线策略“怕震荡、爱趋势”的本质特征。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四、文献综述：双均线策略在什么标的上验证更有效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在动手回测前，先回顾学术界对均线/趋势跟踪策略的重要研究，以明确“该策略在什么标的上更靠谱”。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奠基之作：Brock, Lakonishok &amp; LeBaron (1992)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发表于顶级期刊《Journal of Finance》的 Brock、Lakonishok 与 LeBaron（1992，简称 BLL）是检验技术交易规则的开山之作。他们用道琼斯工业指数 1897—1986 长达 90 年的数据，对移动平均规则和区间突破规则进行了严格的统计（自助法 Bootstrap）检验，发现：买入信号（短均线上穿长均线）之后的平均收益显著高于卖出信号之后的收益，且买入信号后的收益波动更小。这一结果无法被随机游走、AR(1)、GARCH-M 等主流模型解释，为“简单均线规则确实包含预测力”提供了首个量化证据，动摇了有效市场假说。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有效性会衰减：自适应市场假说（Adaptive Market Hypothesis）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然而后续研究（如 Bessembinder &amp; Chan 1998；以及对 1987—2013 年美、英、日三大成熟市场的再检验）发现，BLL 记录的均线规则预测力在 1987 年之后显著减弱。原因在于：随着市场参与者学习、套利资金涌入、交易成本下降，一旦某个规则被广泛知晓，其超额收益就会被“抢跑”而逐渐消失。这正是 Lo（2004）提出的“自适应市场假说”——技术规则只在一段时间内有效，会随市场进化而失灵。这提醒我们：在流动性极好、参与者极成熟的大盘蓝筹/大盘指数上，均线择时越来越难跑赢买入持有。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大宗商品与趋势性资产更适合：Miffre &amp; Rallis (2007) 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与成熟股市形成对比，趋势跟踪类策略在大宗商品期货上表现突出。Miffre 与 Rallis（2007，发表于《Journal of Banking &amp; Finance》）对 31 种商品期货 1979—2004 的动量策略研究发现，13 个动量策略年均收益达 9.38%，而同期等权买入持有商品组合反而亏损 2.64%；且这一收益不因样本期而衰减、与股债相关性低。Moskowitz、Ooi 与 Pedersen（2012）在 58 个跨资产品种上进一步证实了“时间序列动量”的普遍存在。其共同结论是：趋势跟踪策略在趋势性强、波动大、存在持续供求/宏观驱动的标的（如黄金等贵金属、原油等商品，以及具备长期上行beta 的成长型指数）上更为有效。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对本文标的选择的启示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文献，双均线策略更可能在“黄金等大宗商品、趋势鲜明的成长型指数”上跑出价值，而在“高效率、宽幅震荡的大盘蓝筹与宽基指数”上容易因滞后与假信号而跑输买入持有。恰好，本文用户关注的标的中即包含黄金 ETF（518880，商品属性）与纳指 ETF（159941，成长指数），可直接作为文献结论的实证检验对象；同时纳入沪深 300、中证 500 等宽基指数作为对照。下一节即用真实回测数据加以验证。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五、多标的、多周期实证回测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本文对 8 个标的分别采用短线（MA5×MA20）、中线（MA20×MA60）、长线（MA60×MA120）三组均线参数进行回测，共 24 组结果。为回答“收益是策略带来的还是标的带来的”，每组均与“买入持有”基准对比，重点看超额收益。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1. 文献验证：黄金 ETF 与纳指 ETF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先看文献指向的两个标的。表 1 给出黄金 ETF 与纳指 ETF 在三组周期下的完整指标。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1　黄金 ETF 与纳指 ETF 三组周期回测结果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标的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周期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参数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总收益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年化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超额年化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最大回撤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胜率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盈亏比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短线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MA5×MA20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136.3%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11.4%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-4.2%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-16.7%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4.96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MA20×MA60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202.4%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15.0%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-0.7%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1.02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-24.9%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64%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10.69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MA60×MA120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196.3%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14.7%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-1.0%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-24.9%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83%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10.49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短线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MA5×MA20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183.4%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14.0%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-7.7%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0.78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-22.1%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52%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3.23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MA20×MA60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95.6%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8.8%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-12.9%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-34.3%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2.67</w:t>
            </w:r>
          </w:p>
        </w:tc>
      </w:tr>
      <w:tr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长线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MA60×MA120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131.8%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11.2%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-10.6%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-30.0%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67%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3.24</w:t>
            </w:r>
          </w:p>
        </w:tc>
      </w:tr>
    </w:tbl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结果与文献高度吻合：黄金 ETF 是全样本中双均线策略表现最好的标的——中线参数下年化 15.0%、夏普 1.02、最大回撤仅 24.9%，超额年化仅 -0.7%（几乎追平买入持有），盈亏比高达 10.7（胜率 64%）。这正是趋势跟踪的理想画像：黄金 2024 年以来的强单边上涨让策略长期满仓吃到主升浪，而 2026 年中的高位死叉又帮它规避了后续回撤。纳指 ETF 作为成长型指数同样表现不俗（短线夏普 0.78）。二者共同印证：趋势性强的商品与成长资产确实是双均线策略的“主场”。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6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sh5188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2　黄金 ETF 三组周期策略净值 vs 买入持有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如图 2，黄金 ETF 的中长线策略净值在 2026 年高点后走平（死叉离场），成功躲过了买入持有（灰色虚线）从4.4 跌回 3.0 的剧烈回撤——这正是趋势跟踪“放弃部分顶部收益、换取回撤保护”价值的最佳写照。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2. 用户关注标的：中线参数横向对比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表 2 汇总全部 8 个标的在中线参数（MA20×MA60）下的表现，并按超额年化收益从高到低排序。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表 2　8 标的中线策略（MA20×MA60）指标全览（按超额年化排序）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标的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策略年化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基准年化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超额年化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夏普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策略回撤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基准回撤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交易次数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胜率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黄金ETF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15.0%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1.02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-24.9%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-30.5%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64%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腾讯控股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0.15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-53.3%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-76.7%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38%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沪深300ETF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0.8%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0.13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-42.1%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-44.7%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46%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科创50ETF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7.2%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-6.2%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0.15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-45.6%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-59.9%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中证500ETF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-0.2%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6.4%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-6.6%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0.07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-43.1%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-40.7%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30%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长江电力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-8.2%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0.39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-31.1%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-24.6%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红利低波50ETF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15.5%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-11.7%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0.31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-32.6%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-19.8%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44%</w:t>
            </w:r>
          </w:p>
        </w:tc>
      </w:tr>
      <w:tr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纳指ETF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8.8%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21.7%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-12.9%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0.51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-34.3%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-30.0%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960"/>
          </w:tcPr>
          <w:p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59%</w:t>
            </w:r>
          </w:p>
        </w:tc>
      </w:tr>
    </w:tbl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59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ex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3　各标的中线策略超额年化收益对比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如表 2 与图 3，一个诚实但重要的结论浮现：在 2018—2026 这段整体向上的样本里，几乎所有标的的双均线择时都跑输了买入持有（超额年化为负）。这与自适应市场假说一致——在流动性好的宽基指数（沪深 300、中证 500）与低波动标的（红利低波、长江电力）上，均线的滞后性让它频繁高买低卖，超额收益垫底（纳指 -12.9%、红利低波 -11.7%）。而黄金 ETF（-0.7%）与腾讯控股、中证 500 短线等趋势/波动更强的组合，超额损失最小甚至转正，再次验证了“标的选择比参数更重要”。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3. 别只看收益：双均线真正的价值在“控回撤”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若仅以超额收益论英雄，容易误判策略毫无价值。但把视角切换到风险维度，结论就大不相同。图 4 对比了中线策略与买入持有的最大回撤。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599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59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4　双均线策略 vs 买入持有：最大回撤对比（中线）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如图 4，在高波动标的上，双均线策略显著削减了回撤：腾讯控股从买入持有的 76.7% 大幅压降到 53.3%，科创 50 从 59.9% 降到 45.6%。也就是说，策略用“少赚一点”换来了“回撤浅很多、持有体验平稳很多”。反之，在本就低波动的红利低波、长江电力上，择时失误反而略微加大了回撤——这说明低波动标的没有明显趋势可供跟踪，不适合用双均线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49672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p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6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5　8 标的 × 3 周期 夏普比率热力图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图 5 的夏普比率（风险调整后收益）进一步佐证：黄金 ETF 在三组周期上全部“翻绿”（0.89—1.02，全样本最高），纳指 ETF 次之，是最适合双均线策略的两类标的；而沪深 300、长江电力、红利低波等则大面积偏橙偏红，风险调整后性价比不佳。</w:t>
      </w:r>
    </w:p>
    <w:p>
      <w:pPr>
        <w:spacing w:line="360" w:lineRule="auto" w:before="0" w:after="0"/>
        <w:ind w:firstLine="420"/>
        <w:jc w:val="left"/>
      </w:pPr>
      <w:r>
        <w:rPr>
          <w:rFonts w:ascii="宋体" w:hAnsi="宋体" w:eastAsia="宋体"/>
          <w:b/>
          <w:sz w:val="22"/>
        </w:rPr>
        <w:t>4. 短线、中线、长线：周期怎么选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把 24 组结果画到“收益—回撤”平面上（图 6），可以观察均线周期的整体规律。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264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_ef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26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</w:rPr>
        <w:t>图 6　收益—回撤分布（8 标的 × 3 周期，共 24 组）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综合表 1 与图 6 可总结出周期效应：（1）短线（MA5×MA20）信号最灵敏、交易最频繁（单标的 38—70 次），在强趋势标的上能更早上车（如科创 50 短线年化 13.0%、超额转正 +5.8%），但在震荡标的上假信号最多、交易成本侵蚀严重（沪深 300 短线年化 -1.4%）。（2）长线（MA60×MA120）最稳健、交易最少（5—11 次）、盈亏比最高（黄金长线 10.5、腾讯长线胜率 80%），滞后性也最强、容易错过拐点。（3）中线（MA20×MA60）在灵敏与稳健之间较为均衡，是多数标的的折中之选。总体上，没有“万能周期”，需与标的波动特性匹配：波动大、趋势急的标的适合偏短周期抢反应，波动温和、趋势慢的标的适合偏长周期滤噪音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/>
          <w:sz w:val="26"/>
        </w:rPr>
        <w:t>六、双均线策略适用场景与应用心得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综合文献与本文 24 组实证，对双均线策略的适用场景与使用要点总结如下：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1. 适合“有趋势”的标的，最怕“宽幅震荡”。策略的全部收益来自抓住单边趋势，因此在黄金等大宗商品、纳指等趋势鲜明的成长指数上最有效（黄金 ETF 夏普高达 1.02）；而在长期横盘或高效率的宽基指数上，均线来回穿插产生大量假信号，反而不断“高买低卖”。标的选择的重要性远高于参数调优。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2. 它的核心价值往往不是“多赚”，而是“少亏、控回撤”。在长牛样本里策略超额收益多为负，但它把腾讯的最大回撤从 77% 压到 53%、把黄金的回撤从 30% 压到 25%。对追求平稳、厌恶大幅回撤的资金而言，用一定的收益换取显著更浅的回撤与更高的夏普，本身就是有意义的风险管理。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3. 天生“低胜率、高盈亏比”，要接受频繁小亏。本文趋势型标的胜率多在 40%—65%，但盈亏比常达 2—10 倍，盈利高度依赖少数几笔大趋势。使用者必须有纪律地执行每一次止损信号，不能因连续小亏而放弃，否则会错过真正贡献收益的那几笔大行情。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4. 周期需与标的波动匹配，且必须计入交易成本、规避未来函数。波动大选偏短周期、波动小选偏长周期；短周期交易频繁，务必把佣金与冲击成本纳入回测（本文用万分之五），并让信号“次日生效”，否则回测会系统性高估收益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5. 单一均线信号并非万能，宜作为“趋势过滤器”与其他工具配合。文献显示其超额收益会随市场成熟而衰减，实务中常与 RSI/MACD（判断超买超卖与背离）、成交量、止损止盈规则、以及仓位管理结合，用震荡指标过滤震荡市假信号，用趋势指标确认方向，才能扬长避短。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总之，双均线策略是理解“趋势跟踪”思想最好的入门范式：逻辑简单、可解释性强、能清晰暴露择时策略“怕震荡、爱趋势、重风控”的一般规律。它教会我们的最重要一课或许是——在评价任何策略时，都要用超额收益把“标的的 β”与“策略的 α”分开，用夏普和最大回撤把“收益”与“风险”一起看，才能做出诚实而全面的判断。</w:t>
      </w:r>
    </w:p>
    <w:p/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color w:val="666666"/>
          <w:sz w:val="18"/>
        </w:rPr>
        <w:t>数据来源：腾讯自选股行情接口（前复权日线，2018-2026）；回测与绘图代码：strategy.py / run_backtest.py / extra_analysis.py。本文仅为量化学习实践，不构成任何投资建议，市场有风险，决策需谨慎。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