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0"/>
        </w:rPr>
        <w:t>RESEARCH PROJECT PROGRESS REPORT &amp; DEMO BRIEFING</w:t>
      </w:r>
    </w:p>
    <w:p>
      <w:pPr>
        <w:spacing w:after="320"/>
      </w:pPr>
      <w:r>
        <w:rPr>
          <w:rFonts w:ascii="Calibri" w:hAnsi="Calibri"/>
          <w:i/>
          <w:color w:val="007A78"/>
          <w:sz w:val="24"/>
        </w:rPr>
        <w:t>Project IT4010 (J26-SE-347) — Member 1: Schema-Aware NL-to-SQL Engine</w:t>
      </w:r>
    </w:p>
    <w:tbl>
      <w:tblPr>
        <w:tblW w:type="auto" w:w="0"/>
        <w:jc w:val="center"/>
        <w:tblLook w:firstColumn="1" w:firstRow="1" w:lastColumn="0" w:lastRow="0" w:noHBand="0" w:noVBand="1" w:val="04A0"/>
      </w:tblPr>
      <w:tblGrid>
        <w:gridCol w:w="4680"/>
        <w:gridCol w:w="4680"/>
      </w:tblGrid>
      <w:tr>
        <w:tc>
          <w:tcPr>
            <w:tcW w:type="dxa" w:w="2592"/>
            <w:shd w:fill="F0F4F8"/>
          </w:tcPr>
          <w:p>
            <w:r>
              <w:rPr>
                <w:b/>
              </w:rPr>
              <w:t>Project Title:</w:t>
            </w:r>
          </w:p>
        </w:tc>
        <w:tc>
          <w:tcPr>
            <w:tcW w:type="dxa" w:w="6768"/>
            <w:shd w:fill="F0F4F8"/>
          </w:tcPr>
          <w:p>
            <w:r>
              <w:t>Secure Multi-Tenant Natural Language Interface for Database Querying</w:t>
            </w:r>
          </w:p>
        </w:tc>
      </w:tr>
      <w:tr>
        <w:tc>
          <w:tcPr>
            <w:tcW w:type="dxa" w:w="2592"/>
            <w:shd w:fill="F0F4F8"/>
          </w:tcPr>
          <w:p>
            <w:r>
              <w:rPr>
                <w:b/>
              </w:rPr>
              <w:t>Student Name &amp; ID:</w:t>
            </w:r>
          </w:p>
        </w:tc>
        <w:tc>
          <w:tcPr>
            <w:tcW w:type="dxa" w:w="6768"/>
            <w:shd w:fill="F0F4F8"/>
          </w:tcPr>
          <w:p>
            <w:r>
              <w:t>Sasmitha A W D (IT23143418) — Member 1 Component Lead</w:t>
            </w:r>
          </w:p>
        </w:tc>
      </w:tr>
      <w:tr>
        <w:tc>
          <w:tcPr>
            <w:tcW w:type="dxa" w:w="2592"/>
            <w:shd w:fill="F0F4F8"/>
          </w:tcPr>
          <w:p>
            <w:r>
              <w:rPr>
                <w:b/>
              </w:rPr>
              <w:t>Research Unit:</w:t>
            </w:r>
          </w:p>
        </w:tc>
        <w:tc>
          <w:tcPr>
            <w:tcW w:type="dxa" w:w="6768"/>
            <w:shd w:fill="F0F4F8"/>
          </w:tcPr>
          <w:p>
            <w:r>
              <w:t>CoEAI - Centre of Excellence for AI (SLIIT UNI)</w:t>
            </w:r>
          </w:p>
        </w:tc>
      </w:tr>
      <w:tr>
        <w:tc>
          <w:tcPr>
            <w:tcW w:type="dxa" w:w="2592"/>
            <w:shd w:fill="F0F4F8"/>
          </w:tcPr>
          <w:p>
            <w:r>
              <w:rPr>
                <w:b/>
              </w:rPr>
              <w:t>Report Date &amp; Scope:</w:t>
            </w:r>
          </w:p>
        </w:tc>
        <w:tc>
          <w:tcPr>
            <w:tcW w:type="dxa" w:w="6768"/>
            <w:shd w:fill="F0F4F8"/>
          </w:tcPr>
          <w:p>
            <w:r>
              <w:t>August 10, 2026 | Phase 1 Baseline Implementation &amp; Benchmark Evaluation</w:t>
            </w:r>
          </w:p>
        </w:tc>
      </w:tr>
    </w:tbl>
    <w:p>
      <w:pPr>
        <w:spacing w:after="160"/>
      </w:pPr>
    </w:p>
    <w:p>
      <w:pPr>
        <w:keepNext/>
        <w:spacing w:before="320" w:after="120"/>
      </w:pPr>
      <w:r>
        <w:rPr>
          <w:rFonts w:ascii="Calibri" w:hAnsi="Calibri"/>
          <w:b/>
          <w:color w:val="1B365D"/>
          <w:sz w:val="32"/>
        </w:rPr>
        <w:t>1. Executive Summary</w:t>
      </w:r>
    </w:p>
    <w:p>
      <w:pPr>
        <w:spacing w:line="276" w:lineRule="auto" w:after="160"/>
      </w:pPr>
      <w:r>
        <w:t>This document provides a comprehensive progress briefing for the supervisor on Member 1's component of the IT4010 research project (Project ID: J26-SE-347). The primary objective of Member 1 is to architect a context-optimized, schema-aware Natural Language-to-SQL (NL-to-SQL) translation engine equipped with minimal-context schema extraction and autonomous self-correction capabilities.</w:t>
        <w:br/>
        <w:br/>
        <w:t>To date, Phase 1 (Month 1 Naive Baseline Engine) has been fully implemented, integrated, and evaluated against the standard Spider benchmark dataset across N = 100 queries. Empirical benchmark results indicate a baseline execution accuracy of 77.00% using Meta Llama-3.3-70B, establishing a rigorous control reference for future research iterations.</w:t>
      </w:r>
    </w:p>
    <w:p>
      <w:pPr>
        <w:keepNext/>
        <w:spacing w:before="320" w:after="120"/>
      </w:pPr>
      <w:r>
        <w:rPr>
          <w:rFonts w:ascii="Calibri" w:hAnsi="Calibri"/>
          <w:b/>
          <w:color w:val="1B365D"/>
          <w:sz w:val="32"/>
        </w:rPr>
        <w:t>2. Technology Stack &amp; Frameworks</w:t>
      </w:r>
    </w:p>
    <w:p>
      <w:pPr>
        <w:spacing w:after="120"/>
      </w:pPr>
      <w:r>
        <w:t>The engine and automated benchmark evaluation harness were developed using the following software stack:</w:t>
      </w:r>
    </w:p>
    <w:tbl>
      <w:tblPr>
        <w:tblW w:type="auto" w:w="0"/>
        <w:jc w:val="center"/>
        <w:tblLook w:firstColumn="1" w:firstRow="1" w:lastColumn="0" w:lastRow="0" w:noHBand="0" w:noVBand="1" w:val="04A0"/>
      </w:tblPr>
      <w:tblGrid>
        <w:gridCol w:w="4680"/>
        <w:gridCol w:w="4680"/>
      </w:tblGrid>
      <w:tr>
        <w:tc>
          <w:tcPr>
            <w:tcW w:type="dxa" w:w="3168"/>
            <w:shd w:fill="1B365D"/>
          </w:tcPr>
          <w:p>
            <w:r>
              <w:rPr>
                <w:b/>
                <w:color w:val="FFFFFF"/>
              </w:rPr>
              <w:t>Technology Layer</w:t>
            </w:r>
          </w:p>
        </w:tc>
        <w:tc>
          <w:tcPr>
            <w:tcW w:type="dxa" w:w="6192"/>
            <w:shd w:fill="1B365D"/>
          </w:tcPr>
          <w:p>
            <w:r>
              <w:rPr>
                <w:b/>
                <w:color w:val="FFFFFF"/>
              </w:rPr>
              <w:t>Components &amp; Frameworks Used</w:t>
            </w:r>
          </w:p>
        </w:tc>
      </w:tr>
      <w:tr>
        <w:tc>
          <w:tcPr>
            <w:tcW w:type="dxa" w:w="3168"/>
            <w:shd w:fill="F0F4F8"/>
          </w:tcPr>
          <w:p>
            <w:r>
              <w:rPr>
                <w:b w:val="0"/>
              </w:rPr>
              <w:t>Core Architecture</w:t>
            </w:r>
          </w:p>
        </w:tc>
        <w:tc>
          <w:tcPr>
            <w:tcW w:type="dxa" w:w="6192"/>
            <w:shd w:fill="F0F4F8"/>
          </w:tcPr>
          <w:p>
            <w:r>
              <w:rPr>
                <w:b w:val="0"/>
              </w:rPr>
              <w:t>Python 3.12, SQLite 3 Engine, SQL Server (pyodbc / sqlite3), REST API Gateway Specification</w:t>
            </w:r>
          </w:p>
        </w:tc>
      </w:tr>
      <w:tr>
        <w:tc>
          <w:tcPr>
            <w:tcW w:type="dxa" w:w="3168"/>
          </w:tcPr>
          <w:p>
            <w:r>
              <w:rPr>
                <w:b w:val="0"/>
              </w:rPr>
              <w:t>LLM Inference APIs</w:t>
            </w:r>
          </w:p>
        </w:tc>
        <w:tc>
          <w:tcPr>
            <w:tcW w:type="dxa" w:w="6192"/>
          </w:tcPr>
          <w:p>
            <w:r>
              <w:rPr>
                <w:b w:val="0"/>
              </w:rPr>
              <w:t>Groq LPU Cloud API (Llama-3.3-70B, Llama-3.1-8B), OpenRouter API (Cohere North Mini Code), Google Gemini API</w:t>
            </w:r>
          </w:p>
        </w:tc>
      </w:tr>
      <w:tr>
        <w:tc>
          <w:tcPr>
            <w:tcW w:type="dxa" w:w="3168"/>
            <w:shd w:fill="F0F4F8"/>
          </w:tcPr>
          <w:p>
            <w:r>
              <w:rPr>
                <w:b w:val="0"/>
              </w:rPr>
              <w:t>Evaluation &amp; Analytics</w:t>
            </w:r>
          </w:p>
        </w:tc>
        <w:tc>
          <w:tcPr>
            <w:tcW w:type="dxa" w:w="6192"/>
            <w:shd w:fill="F0F4F8"/>
          </w:tcPr>
          <w:p>
            <w:r>
              <w:rPr>
                <w:b w:val="0"/>
              </w:rPr>
              <w:t>Spider Text-to-SQL Benchmark Dataset (dev.json, N = 100 queries), Custom CycleProfiler Latency Profiler</w:t>
            </w:r>
          </w:p>
        </w:tc>
      </w:tr>
      <w:tr>
        <w:tc>
          <w:tcPr>
            <w:tcW w:type="dxa" w:w="3168"/>
          </w:tcPr>
          <w:p>
            <w:r>
              <w:rPr>
                <w:b w:val="0"/>
              </w:rPr>
              <w:t>Environment &amp; Security</w:t>
            </w:r>
          </w:p>
        </w:tc>
        <w:tc>
          <w:tcPr>
            <w:tcW w:type="dxa" w:w="6192"/>
          </w:tcPr>
          <w:p>
            <w:r>
              <w:rPr>
                <w:b w:val="0"/>
              </w:rPr>
              <w:t>python-dotenv (.env key management), JSON Failure Taxonomy Exporter (failure_taxonomy.json)</w:t>
            </w:r>
          </w:p>
        </w:tc>
      </w:tr>
    </w:tbl>
    <w:p>
      <w:pPr>
        <w:spacing w:after="160"/>
      </w:pPr>
    </w:p>
    <w:p>
      <w:pPr>
        <w:keepNext/>
        <w:spacing w:before="320" w:after="120"/>
      </w:pPr>
      <w:r>
        <w:rPr>
          <w:rFonts w:ascii="Calibri" w:hAnsi="Calibri"/>
          <w:b/>
          <w:color w:val="1B365D"/>
          <w:sz w:val="32"/>
        </w:rPr>
        <w:t>3. Deliverables Built &amp; Implemented</w:t>
      </w:r>
    </w:p>
    <w:p>
      <w:pPr>
        <w:keepNext/>
        <w:spacing w:before="240" w:after="80"/>
      </w:pPr>
      <w:r>
        <w:rPr>
          <w:rFonts w:ascii="Calibri" w:hAnsi="Calibri"/>
          <w:b/>
          <w:color w:val="007A78"/>
          <w:sz w:val="26"/>
        </w:rPr>
        <w:t>A. Phase 1 Naive NL-to-SQL Translation Engine (main.py)</w:t>
      </w:r>
    </w:p>
    <w:p>
      <w:pPr>
        <w:spacing w:after="120"/>
      </w:pPr>
      <w:r>
        <w:t>A functional Python translation module that accepts natural language questions, extracts relational database schema structures (CREATE DDL statements), and formats Code Representation Prompts (CRP). It communicates with LLM provider APIs via zero-shot inference to produce executable SQL queries.</w:t>
      </w:r>
    </w:p>
    <w:p>
      <w:pPr>
        <w:keepNext/>
        <w:spacing w:before="240" w:after="80"/>
      </w:pPr>
      <w:r>
        <w:rPr>
          <w:rFonts w:ascii="Calibri" w:hAnsi="Calibri"/>
          <w:b/>
          <w:color w:val="007A78"/>
          <w:sz w:val="26"/>
        </w:rPr>
        <w:t>B. Automated Benchmark Evaluation Harness (evaluate.py)</w:t>
      </w:r>
    </w:p>
    <w:p>
      <w:pPr>
        <w:spacing w:after="120"/>
      </w:pPr>
      <w:r>
        <w:t>An automated testing pipeline capable of iterating through benchmark questions (Spider dataset), executing predicted SQL against gold-standard database instances, comparing output result sets, tracking token consumption, profiling latency down to the microsecond level, and categorizing failures into a standardized failure taxonomy.</w:t>
      </w:r>
    </w:p>
    <w:p>
      <w:pPr>
        <w:keepNext/>
        <w:spacing w:before="240" w:after="80"/>
      </w:pPr>
      <w:r>
        <w:rPr>
          <w:rFonts w:ascii="Calibri" w:hAnsi="Calibri"/>
          <w:b/>
          <w:color w:val="007A78"/>
          <w:sz w:val="26"/>
        </w:rPr>
        <w:t>C. Multi-Developer System Interface Specification (team_interface_contract.md)</w:t>
      </w:r>
    </w:p>
    <w:p>
      <w:pPr>
        <w:spacing w:after="160"/>
      </w:pPr>
      <w:r>
        <w:t>A detailed API contract document specifying the REST endpoints (POST /api/v1/translate, GET /api/v1/health) and data schemas required to connect Member 1's engine with Member 3 (Federated Auth &amp; RBAC), Member 2 (AST Security Middleware &amp; PII Masking), and Member 4 (Vega-Lite &amp; SARIMA Presentation Layer).</w:t>
      </w:r>
    </w:p>
    <w:p>
      <w:pPr>
        <w:keepNext/>
        <w:spacing w:before="320" w:after="120"/>
      </w:pPr>
      <w:r>
        <w:rPr>
          <w:rFonts w:ascii="Calibri" w:hAnsi="Calibri"/>
          <w:b/>
          <w:color w:val="1B365D"/>
          <w:sz w:val="32"/>
        </w:rPr>
        <w:t>4. Empirical Benchmark Results (N = 100 Queries)</w:t>
      </w:r>
    </w:p>
    <w:p>
      <w:pPr>
        <w:spacing w:after="120"/>
      </w:pPr>
      <w:r>
        <w:t>To evaluate baseline performance, N = 100 queries were evaluated across all 4 difficulty levels (easy, medium, hard, extra) using Meta Llama-3.3-70B (Baseline), Meta Llama-3.1-8B (Model Scale Comparison), and Cohere North Mini Code (Specialized Code LLM).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r>
              <w:rPr>
                <w:b/>
                <w:color w:val="FFFFFF"/>
              </w:rPr>
              <w:t>Metric / Dimension</w:t>
            </w:r>
          </w:p>
        </w:tc>
        <w:tc>
          <w:tcPr>
            <w:tcW w:type="dxa" w:w="1872"/>
            <w:shd w:fill="1B365D"/>
          </w:tcPr>
          <w:p>
            <w:r>
              <w:rPr>
                <w:b/>
                <w:color w:val="FFFFFF"/>
              </w:rPr>
              <w:t>Llama-3.3-70B (Groq)</w:t>
            </w:r>
          </w:p>
        </w:tc>
        <w:tc>
          <w:tcPr>
            <w:tcW w:type="dxa" w:w="1872"/>
            <w:shd w:fill="1B365D"/>
          </w:tcPr>
          <w:p>
            <w:r>
              <w:rPr>
                <w:b/>
                <w:color w:val="FFFFFF"/>
              </w:rPr>
              <w:t>Llama-3.1-8B (Groq)</w:t>
            </w:r>
          </w:p>
        </w:tc>
        <w:tc>
          <w:tcPr>
            <w:tcW w:type="dxa" w:w="1872"/>
            <w:shd w:fill="1B365D"/>
          </w:tcPr>
          <w:p>
            <w:r>
              <w:rPr>
                <w:b/>
                <w:color w:val="FFFFFF"/>
              </w:rPr>
              <w:t>Cohere Code (OpenRouter)</w:t>
            </w:r>
          </w:p>
        </w:tc>
        <w:tc>
          <w:tcPr>
            <w:tcW w:type="dxa" w:w="1872"/>
            <w:shd w:fill="1B365D"/>
          </w:tcPr>
          <w:p>
            <w:r>
              <w:rPr>
                <w:b/>
                <w:color w:val="FFFFFF"/>
              </w:rPr>
              <w:t>DeepSeek V3 (SambaNova)</w:t>
            </w:r>
          </w:p>
        </w:tc>
      </w:tr>
      <w:tr>
        <w:tc>
          <w:tcPr>
            <w:tcW w:type="dxa" w:w="1872"/>
            <w:shd w:fill="F0F4F8"/>
          </w:tcPr>
          <w:p>
            <w:r>
              <w:rPr>
                <w:b/>
              </w:rPr>
              <w:t>Execution Accuracy</w:t>
            </w:r>
          </w:p>
        </w:tc>
        <w:tc>
          <w:tcPr>
            <w:tcW w:type="dxa" w:w="1872"/>
            <w:shd w:fill="F0F4F8"/>
          </w:tcPr>
          <w:p>
            <w:r>
              <w:rPr>
                <w:b w:val="0"/>
              </w:rPr>
              <w:t>77.00% (77/100)</w:t>
            </w:r>
          </w:p>
        </w:tc>
        <w:tc>
          <w:tcPr>
            <w:tcW w:type="dxa" w:w="1872"/>
            <w:shd w:fill="F0F4F8"/>
          </w:tcPr>
          <w:p>
            <w:r>
              <w:rPr>
                <w:b w:val="0"/>
              </w:rPr>
              <w:t>68.00% (68/100)</w:t>
            </w:r>
          </w:p>
        </w:tc>
        <w:tc>
          <w:tcPr>
            <w:tcW w:type="dxa" w:w="1872"/>
            <w:shd w:fill="F0F4F8"/>
          </w:tcPr>
          <w:p>
            <w:r>
              <w:rPr>
                <w:b w:val="0"/>
              </w:rPr>
              <w:t>71.43% (35/49 valid)</w:t>
            </w:r>
          </w:p>
        </w:tc>
        <w:tc>
          <w:tcPr>
            <w:tcW w:type="dxa" w:w="1872"/>
            <w:shd w:fill="F0F4F8"/>
          </w:tcPr>
          <w:p>
            <w:r>
              <w:rPr>
                <w:b w:val="0"/>
              </w:rPr>
              <w:t>88.89% (16/18 valid)</w:t>
            </w:r>
          </w:p>
        </w:tc>
      </w:tr>
      <w:tr>
        <w:tc>
          <w:tcPr>
            <w:tcW w:type="dxa" w:w="1872"/>
          </w:tcPr>
          <w:p>
            <w:r>
              <w:rPr>
                <w:b/>
              </w:rPr>
              <w:t>Schema Linking Errors</w:t>
            </w:r>
          </w:p>
        </w:tc>
        <w:tc>
          <w:tcPr>
            <w:tcW w:type="dxa" w:w="1872"/>
          </w:tcPr>
          <w:p>
            <w:r>
              <w:rPr>
                <w:b w:val="0"/>
              </w:rPr>
              <w:t>0 (0.0%)</w:t>
            </w:r>
          </w:p>
        </w:tc>
        <w:tc>
          <w:tcPr>
            <w:tcW w:type="dxa" w:w="1872"/>
          </w:tcPr>
          <w:p>
            <w:r>
              <w:rPr>
                <w:b w:val="0"/>
              </w:rPr>
              <w:t>13 (13.0%)</w:t>
            </w:r>
          </w:p>
        </w:tc>
        <w:tc>
          <w:tcPr>
            <w:tcW w:type="dxa" w:w="1872"/>
          </w:tcPr>
          <w:p>
            <w:r>
              <w:rPr>
                <w:b w:val="0"/>
              </w:rPr>
              <w:t>0 (0.0%)</w:t>
            </w:r>
          </w:p>
        </w:tc>
        <w:tc>
          <w:tcPr>
            <w:tcW w:type="dxa" w:w="1872"/>
          </w:tcPr>
          <w:p>
            <w:r>
              <w:rPr>
                <w:b w:val="0"/>
              </w:rPr>
              <w:t>0 (0.0%)</w:t>
            </w:r>
          </w:p>
        </w:tc>
      </w:tr>
      <w:tr>
        <w:tc>
          <w:tcPr>
            <w:tcW w:type="dxa" w:w="1872"/>
            <w:shd w:fill="F0F4F8"/>
          </w:tcPr>
          <w:p>
            <w:r>
              <w:rPr>
                <w:b/>
              </w:rPr>
              <w:t>Primary Failure Mode</w:t>
            </w:r>
          </w:p>
        </w:tc>
        <w:tc>
          <w:tcPr>
            <w:tcW w:type="dxa" w:w="1872"/>
            <w:shd w:fill="F0F4F8"/>
          </w:tcPr>
          <w:p>
            <w:r>
              <w:rPr>
                <w:b w:val="0"/>
              </w:rPr>
              <w:t>RESULT_MISMATCH (20)</w:t>
            </w:r>
          </w:p>
        </w:tc>
        <w:tc>
          <w:tcPr>
            <w:tcW w:type="dxa" w:w="1872"/>
            <w:shd w:fill="F0F4F8"/>
          </w:tcPr>
          <w:p>
            <w:r>
              <w:rPr>
                <w:b w:val="0"/>
              </w:rPr>
              <w:t>SCHEMA_LINKING (13)</w:t>
            </w:r>
          </w:p>
        </w:tc>
        <w:tc>
          <w:tcPr>
            <w:tcW w:type="dxa" w:w="1872"/>
            <w:shd w:fill="F0F4F8"/>
          </w:tcPr>
          <w:p>
            <w:r>
              <w:rPr>
                <w:b w:val="0"/>
              </w:rPr>
              <w:t>Rate Limiting (51)</w:t>
            </w:r>
          </w:p>
        </w:tc>
        <w:tc>
          <w:tcPr>
            <w:tcW w:type="dxa" w:w="1872"/>
            <w:shd w:fill="F0F4F8"/>
          </w:tcPr>
          <w:p>
            <w:r>
              <w:rPr>
                <w:b w:val="0"/>
              </w:rPr>
              <w:t>Rate Limiting (82)</w:t>
            </w:r>
          </w:p>
        </w:tc>
      </w:tr>
      <w:tr>
        <w:tc>
          <w:tcPr>
            <w:tcW w:type="dxa" w:w="1872"/>
          </w:tcPr>
          <w:p>
            <w:r>
              <w:rPr>
                <w:b/>
              </w:rPr>
              <w:t>LLM Latency Bottleneck</w:t>
            </w:r>
          </w:p>
        </w:tc>
        <w:tc>
          <w:tcPr>
            <w:tcW w:type="dxa" w:w="1872"/>
          </w:tcPr>
          <w:p>
            <w:r>
              <w:rPr>
                <w:b w:val="0"/>
              </w:rPr>
              <w:t>99.6% (210.95s total)</w:t>
            </w:r>
          </w:p>
        </w:tc>
        <w:tc>
          <w:tcPr>
            <w:tcW w:type="dxa" w:w="1872"/>
          </w:tcPr>
          <w:p>
            <w:r>
              <w:rPr>
                <w:b w:val="0"/>
              </w:rPr>
              <w:t>99.6% (276.32s total)</w:t>
            </w:r>
          </w:p>
        </w:tc>
        <w:tc>
          <w:tcPr>
            <w:tcW w:type="dxa" w:w="1872"/>
          </w:tcPr>
          <w:p>
            <w:r>
              <w:rPr>
                <w:b w:val="0"/>
              </w:rPr>
              <w:t>85.4% (1063.17s total)</w:t>
            </w:r>
          </w:p>
        </w:tc>
        <w:tc>
          <w:tcPr>
            <w:tcW w:type="dxa" w:w="1872"/>
          </w:tcPr>
          <w:p>
            <w:r>
              <w:rPr>
                <w:b w:val="0"/>
              </w:rPr>
              <w:t>66.4% (1629.11s total)</w:t>
            </w:r>
          </w:p>
        </w:tc>
      </w:tr>
    </w:tbl>
    <w:p>
      <w:pPr>
        <w:spacing w:after="160"/>
      </w:pPr>
    </w:p>
    <w:p>
      <w:pPr>
        <w:keepNext/>
        <w:spacing w:before="240" w:after="80"/>
      </w:pPr>
      <w:r>
        <w:rPr>
          <w:rFonts w:ascii="Calibri" w:hAnsi="Calibri"/>
          <w:b/>
          <w:color w:val="007A78"/>
          <w:sz w:val="26"/>
        </w:rPr>
        <w:t>Key Findings for Literature:</w:t>
      </w:r>
    </w:p>
    <w:p>
      <w:pPr>
        <w:pStyle w:val="ListBullet"/>
      </w:pPr>
      <w:r>
        <w:rPr>
          <w:b/>
        </w:rPr>
        <w:t xml:space="preserve">Model Scale Impact: </w:t>
      </w:r>
      <w:r>
        <w:t>Reducing model size from 70B to 8B caused a 9.00% accuracy drop and triggered 13 Schema Linking Errors, proving smaller models hallucinate column mappings without schema pruning.</w:t>
      </w:r>
    </w:p>
    <w:p>
      <w:pPr>
        <w:pStyle w:val="ListBullet"/>
      </w:pPr>
      <w:r>
        <w:rPr>
          <w:b/>
        </w:rPr>
        <w:t xml:space="preserve">Dialect Confusion: </w:t>
      </w:r>
      <w:r>
        <w:t>All models generated T-SQL pagination syntax (OFFSET 0 ROWS FETCH NEXT 1 ROW ONLY) instead of SQLite LIMIT, proving model size alone does not resolve SQL dialect confusion.</w:t>
      </w:r>
    </w:p>
    <w:p>
      <w:pPr>
        <w:pStyle w:val="ListBullet"/>
      </w:pPr>
      <w:r>
        <w:rPr>
          <w:b/>
        </w:rPr>
        <w:t xml:space="preserve">Latency Bottleneck: </w:t>
      </w:r>
      <w:r>
        <w:t>Local database operations take &lt; 0.4% total runtime. Over 99.6% of system latency is consumed by LLM API inference.</w:t>
      </w:r>
    </w:p>
    <w:p>
      <w:pPr>
        <w:keepNext/>
        <w:spacing w:before="320" w:after="120"/>
      </w:pPr>
      <w:r>
        <w:rPr>
          <w:rFonts w:ascii="Calibri" w:hAnsi="Calibri"/>
          <w:b/>
          <w:color w:val="1B365D"/>
          <w:sz w:val="32"/>
        </w:rPr>
        <w:t>5. Roadmap &amp; Next Research Improvements</w:t>
      </w:r>
    </w:p>
    <w:tbl>
      <w:tblPr>
        <w:tblW w:type="auto" w:w="0"/>
        <w:jc w:val="center"/>
        <w:tblLook w:firstColumn="1" w:firstRow="1" w:lastColumn="0" w:lastRow="0" w:noHBand="0" w:noVBand="1" w:val="04A0"/>
      </w:tblPr>
      <w:tblGrid>
        <w:gridCol w:w="3120"/>
        <w:gridCol w:w="3120"/>
        <w:gridCol w:w="3120"/>
      </w:tblGrid>
      <w:tr>
        <w:tc>
          <w:tcPr>
            <w:tcW w:type="dxa" w:w="3120"/>
            <w:shd w:fill="007A78"/>
          </w:tcPr>
          <w:p>
            <w:r>
              <w:rPr>
                <w:b/>
                <w:color w:val="FFFFFF"/>
              </w:rPr>
              <w:t>Research Objective (TAF)</w:t>
            </w:r>
          </w:p>
        </w:tc>
        <w:tc>
          <w:tcPr>
            <w:tcW w:type="dxa" w:w="3120"/>
            <w:shd w:fill="007A78"/>
          </w:tcPr>
          <w:p>
            <w:r>
              <w:rPr>
                <w:b/>
                <w:color w:val="FFFFFF"/>
              </w:rPr>
              <w:t>Target Phase</w:t>
            </w:r>
          </w:p>
        </w:tc>
        <w:tc>
          <w:tcPr>
            <w:tcW w:type="dxa" w:w="3120"/>
            <w:shd w:fill="007A78"/>
          </w:tcPr>
          <w:p>
            <w:r>
              <w:rPr>
                <w:b/>
                <w:color w:val="FFFFFF"/>
              </w:rPr>
              <w:t>Planned Improvement &amp; Expected Impact</w:t>
            </w:r>
          </w:p>
        </w:tc>
      </w:tr>
      <w:tr>
        <w:tc>
          <w:tcPr>
            <w:tcW w:type="dxa" w:w="3120"/>
            <w:shd w:fill="F0F4F8"/>
          </w:tcPr>
          <w:p>
            <w:r>
              <w:rPr>
                <w:b/>
              </w:rPr>
              <w:t>Task 1: Minimal-Context Schema Extraction</w:t>
            </w:r>
          </w:p>
        </w:tc>
        <w:tc>
          <w:tcPr>
            <w:tcW w:type="dxa" w:w="3120"/>
            <w:shd w:fill="F0F4F8"/>
          </w:tcPr>
          <w:p>
            <w:r>
              <w:rPr>
                <w:b w:val="0"/>
              </w:rPr>
              <w:t>Phase 2</w:t>
            </w:r>
          </w:p>
        </w:tc>
        <w:tc>
          <w:tcPr>
            <w:tcW w:type="dxa" w:w="3120"/>
            <w:shd w:fill="F0F4F8"/>
          </w:tcPr>
          <w:p>
            <w:r>
              <w:rPr>
                <w:b w:val="0"/>
              </w:rPr>
              <w:t>Prune large database schemas down to only question-relevant tables before prompting. Expected to cut prompt tokens by 60% and eliminate 8B schema linking errors.</w:t>
            </w:r>
          </w:p>
        </w:tc>
      </w:tr>
      <w:tr>
        <w:tc>
          <w:tcPr>
            <w:tcW w:type="dxa" w:w="3120"/>
          </w:tcPr>
          <w:p>
            <w:r>
              <w:rPr>
                <w:b/>
              </w:rPr>
              <w:t>Task 3: Autonomous Query Refinement Loop</w:t>
            </w:r>
          </w:p>
        </w:tc>
        <w:tc>
          <w:tcPr>
            <w:tcW w:type="dxa" w:w="3120"/>
          </w:tcPr>
          <w:p>
            <w:r>
              <w:rPr>
                <w:b w:val="0"/>
              </w:rPr>
              <w:t>Phase 3</w:t>
            </w:r>
          </w:p>
        </w:tc>
        <w:tc>
          <w:tcPr>
            <w:tcW w:type="dxa" w:w="3120"/>
          </w:tcPr>
          <w:p>
            <w:r>
              <w:rPr>
                <w:b w:val="0"/>
              </w:rPr>
              <w:t>Engine that intercepts SQLite execution errors (like T-SQL OFFSET errors) and feeds back error messages to the LLM to self-correct automatically (projected to boost accuracy from 77% to &gt; 90%).</w:t>
            </w:r>
          </w:p>
        </w:tc>
      </w:tr>
      <w:tr>
        <w:tc>
          <w:tcPr>
            <w:tcW w:type="dxa" w:w="3120"/>
            <w:shd w:fill="F0F4F8"/>
          </w:tcPr>
          <w:p>
            <w:r>
              <w:rPr>
                <w:b/>
              </w:rPr>
              <w:t>Task 4: Contextual Entity Resolution</w:t>
            </w:r>
          </w:p>
        </w:tc>
        <w:tc>
          <w:tcPr>
            <w:tcW w:type="dxa" w:w="3120"/>
            <w:shd w:fill="F0F4F8"/>
          </w:tcPr>
          <w:p>
            <w:r>
              <w:rPr>
                <w:b w:val="0"/>
              </w:rPr>
              <w:t>Phase 4</w:t>
            </w:r>
          </w:p>
        </w:tc>
        <w:tc>
          <w:tcPr>
            <w:tcW w:type="dxa" w:w="3120"/>
            <w:shd w:fill="F0F4F8"/>
          </w:tcPr>
          <w:p>
            <w:r>
              <w:rPr>
                <w:b w:val="0"/>
              </w:rPr>
              <w:t>Explicit foreign key join mapping to eliminate RESULT_MISMATCH logic errors.</w:t>
            </w:r>
          </w:p>
        </w:tc>
      </w:tr>
    </w:tbl>
    <w:p>
      <w:pPr>
        <w:spacing w:after="240"/>
      </w:pPr>
    </w:p>
    <w:p>
      <w:pPr>
        <w:keepNext/>
        <w:spacing w:before="320" w:after="120"/>
      </w:pPr>
      <w:r>
        <w:rPr>
          <w:rFonts w:ascii="Calibri" w:hAnsi="Calibri"/>
          <w:b/>
          <w:color w:val="1B365D"/>
          <w:sz w:val="32"/>
        </w:rPr>
        <w:t>6. 2-Minute Demonstration Video Script for Supervisor</w:t>
      </w:r>
    </w:p>
    <w:p>
      <w:pPr>
        <w:spacing w:line="276" w:lineRule="auto"/>
      </w:pPr>
      <w:r>
        <w:rPr>
          <w:b/>
        </w:rPr>
        <w:t>Use this step-by-step walkthrough script when recording your demonstration video:</w:t>
        <w:br/>
      </w:r>
    </w:p>
    <w:p>
      <w:pPr>
        <w:pStyle w:val="ListBullet"/>
      </w:pPr>
      <w:r>
        <w:rPr>
          <w:b/>
        </w:rPr>
        <w:t xml:space="preserve">[0:00 - 0:30 (Introduction &amp; Architecture)]: </w:t>
      </w:r>
      <w:r>
        <w:t>Show the repository structure. Explain: 'Hello, this is Sasmitha demonstrating Member 1's component for Project J26-SE-347. My role is building the Schema-Aware NL-to-SQL translation engine.'</w:t>
      </w:r>
    </w:p>
    <w:p>
      <w:pPr>
        <w:pStyle w:val="ListBullet"/>
      </w:pPr>
      <w:r>
        <w:rPr>
          <w:b/>
        </w:rPr>
        <w:t xml:space="preserve">[0:30 - 1:00 (Live Execution Demo)]: </w:t>
      </w:r>
      <w:r>
        <w:t>Open PowerShell. Run `.\venv\Scripts\python.exe main.py`. Enter a question like: 'What is the name and capacity of the stadium with the highest attendance?'. Show the generated SQL query and token count.</w:t>
      </w:r>
    </w:p>
    <w:p>
      <w:pPr>
        <w:pStyle w:val="ListBullet"/>
      </w:pPr>
      <w:r>
        <w:rPr>
          <w:b/>
        </w:rPr>
        <w:t xml:space="preserve">[1:00 - 1:30 (Benchmark Evaluation Pipeline)]: </w:t>
      </w:r>
      <w:r>
        <w:t>Run `.\venv\Scripts\python.exe evaluate.py -n 10 -d all`. Show the automated evaluation harness processing Spider queries, running predicted SQL in SQLite, and outputting execution accuracy.</w:t>
      </w:r>
    </w:p>
    <w:p>
      <w:pPr>
        <w:pStyle w:val="ListBullet"/>
      </w:pPr>
      <w:r>
        <w:rPr>
          <w:b/>
        </w:rPr>
        <w:t xml:space="preserve">[1:30 - 2:00 (Results &amp; Next Steps)]: </w:t>
      </w:r>
      <w:r>
        <w:t>Open `baseline_report_N100.md`. Highlight the 77.00% accuracy on N=100 queries, explain the failure taxonomy analysis, and outline the upcoming Minimal-Context Schema Extractor and Self-Correction Loop.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