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0"/>
        </w:rPr>
        <w:t>Master Research &amp; Comparative Evaluation Document</w:t>
      </w:r>
    </w:p>
    <w:p>
      <w:pPr>
        <w:spacing w:after="240"/>
      </w:pPr>
      <w:r>
        <w:rPr>
          <w:rFonts w:ascii="Calibri" w:hAnsi="Calibri"/>
          <w:i/>
          <w:color w:val="007A78"/>
          <w:sz w:val="22"/>
        </w:rPr>
        <w:t>End-to-End Scientific Evaluation Across 6 Research Developmental Stages on the Spider Benchmark Suite (N = 1,034)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Project Details:</w:t>
            </w:r>
          </w:p>
        </w:tc>
        <w:tc>
          <w:tcPr>
            <w:tcW w:type="dxa" w:w="4680"/>
            <w:shd w:fill="FFFFFF"/>
          </w:tcPr>
          <w:p>
            <w:r>
              <w:t>Secure Multi-Tenant Natural Language Interface for Database Querying (J26-SE-347)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Research Entity:</w:t>
            </w:r>
          </w:p>
        </w:tc>
        <w:tc>
          <w:tcPr>
            <w:tcW w:type="dxa" w:w="4680"/>
            <w:shd w:fill="FFFFFF"/>
          </w:tcPr>
          <w:p>
            <w:r>
              <w:t>Centre of Excellence in AI (CoEAI), SLIIT UNI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Lead Researcher:</w:t>
            </w:r>
          </w:p>
        </w:tc>
        <w:tc>
          <w:tcPr>
            <w:tcW w:type="dxa" w:w="4680"/>
            <w:shd w:fill="FFFFFF"/>
          </w:tcPr>
          <w:p>
            <w:r>
              <w:t>Sasmitha A W D (IT23143418) — Member 1: Schema-Aware NL-to-SQL Translation Engine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Standardized Baseline:</w:t>
            </w:r>
          </w:p>
        </w:tc>
        <w:tc>
          <w:tcPr>
            <w:tcW w:type="dxa" w:w="4680"/>
            <w:shd w:fill="FFFFFF"/>
          </w:tcPr>
          <w:p>
            <w:r>
              <w:t>Alibaba Cloud Qwen/Qwen-2.5-Coder-32B-Instruct (OpenRouter Paid Tier)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Evaluation Standard:</w:t>
            </w:r>
          </w:p>
        </w:tc>
        <w:tc>
          <w:tcPr>
            <w:tcW w:type="dxa" w:w="4680"/>
            <w:shd w:fill="FFFFFF"/>
          </w:tcPr>
          <w:p>
            <w:r>
              <w:t>100% Yale test-suite-sql-eval Standard (EMNLP 2020: multiset + order_matters + col-perm)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Benchmarked Scope:</w:t>
            </w:r>
          </w:p>
        </w:tc>
        <w:tc>
          <w:tcPr>
            <w:tcW w:type="dxa" w:w="4680"/>
            <w:shd w:fill="FFFFFF"/>
          </w:tcPr>
          <w:p>
            <w:r>
              <w:t>Spider Full Dev Suite (N = 1,034 queries across 140+ relational schemas)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Overview &amp; Research Directives</w:t>
      </w:r>
    </w:p>
    <w:p>
      <w:pPr>
        <w:spacing w:after="120"/>
      </w:pPr>
      <w:r>
        <w:t>This Master Research Document serves as the authoritative comparative record for Member 1's component of Project J26-SE-347. The primary research objective is to architect an enterprise-grade, schema-aware Natural Language-to-SQL (NL-to-SQL) translation engine capable of dynamically resolving semantic ambiguities and generating highly accurate relational queries for enterprise multi-tenant databases.</w:t>
        <w:br/>
        <w:br/>
        <w:t>To ensure complete scientific rigor and eliminate model capability drift, all experimental stages are strictly evaluated on the identical foundation model: Qwen-2.5-Coder-32B-Instruct across all 1,034 queries of the Spider benchmark suite. With Stage 5 (Dynamic In-Context Exemplar Engine) and 100% Yale test-suite-sql-eval standard alignment, the engine reached 82.30% Yale Execution Accuracy (851/1,034) and 79.11% Strict Accuracy (818/1,034).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6-Stage Empirical Evolution Matrix</w:t>
      </w:r>
    </w:p>
    <w:p>
      <w:pPr>
        <w:spacing w:after="120"/>
      </w:pPr>
      <w:r>
        <w:t>The table below details the progressive metrics across all 6 research developmental stages on the full Spider dataset (N = 1,034):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B365D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1337"/>
            <w:shd w:fill="1B365D"/>
          </w:tcPr>
          <w:p>
            <w:r>
              <w:rPr>
                <w:b/>
                <w:color w:val="FFFFFF"/>
              </w:rPr>
              <w:t>Stage 1: Base</w:t>
            </w:r>
          </w:p>
        </w:tc>
        <w:tc>
          <w:tcPr>
            <w:tcW w:type="dxa" w:w="1337"/>
            <w:shd w:fill="1B365D"/>
          </w:tcPr>
          <w:p>
            <w:r>
              <w:rPr>
                <w:b/>
                <w:color w:val="FFFFFF"/>
              </w:rPr>
              <w:t>Stage 2: Prune</w:t>
            </w:r>
          </w:p>
        </w:tc>
        <w:tc>
          <w:tcPr>
            <w:tcW w:type="dxa" w:w="1337"/>
            <w:shd w:fill="1B365D"/>
          </w:tcPr>
          <w:p>
            <w:r>
              <w:rPr>
                <w:b/>
                <w:color w:val="FFFFFF"/>
              </w:rPr>
              <w:t>Stage 3: Refine</w:t>
            </w:r>
          </w:p>
        </w:tc>
        <w:tc>
          <w:tcPr>
            <w:tcW w:type="dxa" w:w="1337"/>
            <w:shd w:fill="1B365D"/>
          </w:tcPr>
          <w:p>
            <w:r>
              <w:rPr>
                <w:b/>
                <w:color w:val="FFFFFF"/>
              </w:rPr>
              <w:t>Stage 4: Entity</w:t>
            </w:r>
          </w:p>
        </w:tc>
        <w:tc>
          <w:tcPr>
            <w:tcW w:type="dxa" w:w="1337"/>
            <w:shd w:fill="1B365D"/>
          </w:tcPr>
          <w:p>
            <w:r>
              <w:rPr>
                <w:b/>
                <w:color w:val="FFFFFF"/>
              </w:rPr>
              <w:t>Stage 4.1: Prec.</w:t>
            </w:r>
          </w:p>
        </w:tc>
        <w:tc>
          <w:tcPr>
            <w:tcW w:type="dxa" w:w="1337"/>
            <w:shd w:fill="1B365D"/>
          </w:tcPr>
          <w:p>
            <w:r>
              <w:rPr>
                <w:b/>
                <w:color w:val="FFFFFF"/>
              </w:rPr>
              <w:t>Stage 5: Exemplar</w:t>
            </w:r>
          </w:p>
        </w:tc>
      </w:tr>
      <w:tr>
        <w:tc>
          <w:tcPr>
            <w:tcW w:type="dxa" w:w="1337"/>
            <w:shd w:fill="F0F4F8"/>
          </w:tcPr>
          <w:p>
            <w:r>
              <w:rPr>
                <w:b w:val="0"/>
              </w:rPr>
              <w:t>Architecture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Full DDL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Static Minimal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Closed-Loop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Graph + Ground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Silent Sanitizer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DAIL + Yale Eval</w:t>
            </w:r>
          </w:p>
        </w:tc>
      </w:tr>
      <w:tr>
        <w:tc>
          <w:tcPr>
            <w:tcW w:type="dxa" w:w="1337"/>
          </w:tcPr>
          <w:p>
            <w:r>
              <w:rPr>
                <w:b w:val="0"/>
              </w:rPr>
              <w:t>Sample Size (N)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1,034</w:t>
            </w:r>
          </w:p>
        </w:tc>
      </w:tr>
      <w:tr>
        <w:tc>
          <w:tcPr>
            <w:tcW w:type="dxa" w:w="1337"/>
            <w:shd w:fill="E2E8F0"/>
          </w:tcPr>
          <w:p>
            <w:r>
              <w:rPr>
                <w:b/>
              </w:rPr>
              <w:t>Yale EX Accuracy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337"/>
            <w:shd w:fill="D4EDDA"/>
          </w:tcPr>
          <w:p>
            <w:r>
              <w:rPr>
                <w:b/>
              </w:rPr>
              <w:t>82.30% (851) [SOTA!]</w:t>
            </w:r>
          </w:p>
        </w:tc>
      </w:tr>
      <w:tr>
        <w:tc>
          <w:tcPr>
            <w:tcW w:type="dxa" w:w="1337"/>
            <w:shd w:fill="E2E8F0"/>
          </w:tcPr>
          <w:p>
            <w:r>
              <w:rPr>
                <w:b/>
              </w:rPr>
              <w:t>Strict EX Accuracy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68.47% (708)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66.25% (685)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77.27% (799)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70.70% (731)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77.47% (801)</w:t>
            </w:r>
          </w:p>
        </w:tc>
        <w:tc>
          <w:tcPr>
            <w:tcW w:type="dxa" w:w="1337"/>
            <w:shd w:fill="D4EDDA"/>
          </w:tcPr>
          <w:p>
            <w:r>
              <w:rPr>
                <w:b/>
              </w:rPr>
              <w:t>79.11% (818) [PEAK!]</w:t>
            </w:r>
          </w:p>
        </w:tc>
      </w:tr>
      <w:tr>
        <w:tc>
          <w:tcPr>
            <w:tcW w:type="dxa" w:w="1337"/>
            <w:shd w:fill="F0F4F8"/>
          </w:tcPr>
          <w:p>
            <w:r>
              <w:rPr>
                <w:b w:val="0"/>
              </w:rPr>
              <w:t>Total Query Failures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326 (31.5%)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349 (33.8%)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233 (22.5%)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301 (29.1%)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231 (22.3%)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181 (17.5%) [-45.1%]</w:t>
            </w:r>
          </w:p>
        </w:tc>
      </w:tr>
      <w:tr>
        <w:tc>
          <w:tcPr>
            <w:tcW w:type="dxa" w:w="1337"/>
            <w:shd w:fill="E2E8F0"/>
          </w:tcPr>
          <w:p>
            <w:r>
              <w:rPr>
                <w:b/>
              </w:rPr>
              <w:t>Schema Linking Errors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10 (3.1%)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11 (3.2%)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2 (0.9%)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0 (0.0%) [EXTINCT!]</w:t>
            </w:r>
          </w:p>
        </w:tc>
      </w:tr>
      <w:tr>
        <w:tc>
          <w:tcPr>
            <w:tcW w:type="dxa" w:w="1337"/>
            <w:shd w:fill="F0F4F8"/>
          </w:tcPr>
          <w:p>
            <w:r>
              <w:rPr>
                <w:b w:val="0"/>
              </w:rPr>
              <w:t>Join Errors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52 (16.0%)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48 (13.8%)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25 (10.7%)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13 (4.3%)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17 (7.4%)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15 (8.3%)</w:t>
            </w:r>
          </w:p>
        </w:tc>
      </w:tr>
      <w:tr>
        <w:tc>
          <w:tcPr>
            <w:tcW w:type="dxa" w:w="1337"/>
          </w:tcPr>
          <w:p>
            <w:r>
              <w:rPr>
                <w:b w:val="0"/>
              </w:rPr>
              <w:t>Aggregation Errors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32 (9.8%)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29 (8.3%)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7 (3.0%)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83 (27.6%)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7 (3.0%)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8 (4.4%)</w:t>
            </w:r>
          </w:p>
        </w:tc>
      </w:tr>
      <w:tr>
        <w:tc>
          <w:tcPr>
            <w:tcW w:type="dxa" w:w="1337"/>
            <w:shd w:fill="E2E8F0"/>
          </w:tcPr>
          <w:p>
            <w:r>
              <w:rPr>
                <w:b/>
              </w:rPr>
              <w:t>Syntax Errors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121 (37.1%)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142 (40.7%)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25 (10.7%)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50 (16.6%)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1 (0.4%)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4 (2.2%)</w:t>
            </w:r>
          </w:p>
        </w:tc>
      </w:tr>
      <w:tr>
        <w:tc>
          <w:tcPr>
            <w:tcW w:type="dxa" w:w="1337"/>
          </w:tcPr>
          <w:p>
            <w:r>
              <w:rPr>
                <w:b w:val="0"/>
              </w:rPr>
              <w:t>Result Mismatches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111 (34.0%)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119 (34.1%)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174 (74.7%)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157 (52.2%)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206 (89.2%)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154 (85.1%) [-52]</w:t>
            </w:r>
          </w:p>
        </w:tc>
      </w:tr>
      <w:tr>
        <w:tc>
          <w:tcPr>
            <w:tcW w:type="dxa" w:w="1337"/>
            <w:shd w:fill="E2E8F0"/>
          </w:tcPr>
          <w:p>
            <w:r>
              <w:rPr>
                <w:b/>
              </w:rPr>
              <w:t>Healed Queries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11 queries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19 queries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44 queries</w:t>
            </w:r>
          </w:p>
        </w:tc>
        <w:tc>
          <w:tcPr>
            <w:tcW w:type="dxa" w:w="1337"/>
            <w:shd w:fill="E2E8F0"/>
          </w:tcPr>
          <w:p>
            <w:r>
              <w:rPr>
                <w:b/>
              </w:rPr>
              <w:t>79 queries [+79.5%]</w:t>
            </w:r>
          </w:p>
        </w:tc>
      </w:tr>
      <w:tr>
        <w:tc>
          <w:tcPr>
            <w:tcW w:type="dxa" w:w="1337"/>
          </w:tcPr>
          <w:p>
            <w:r>
              <w:rPr>
                <w:b w:val="0"/>
              </w:rPr>
              <w:t>Avg. Prompt Tokens / Q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386.4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325.4 (-15.8%)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330.4 (-14.5%)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479.7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460.2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588.6 tokens</w:t>
            </w:r>
          </w:p>
        </w:tc>
      </w:tr>
      <w:tr>
        <w:tc>
          <w:tcPr>
            <w:tcW w:type="dxa" w:w="1337"/>
            <w:shd w:fill="F0F4F8"/>
          </w:tcPr>
          <w:p>
            <w:r>
              <w:rPr>
                <w:b w:val="0"/>
              </w:rPr>
              <w:t>Avg Local Latency / Q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0.0ms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4.5ms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4.8ms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18.06ms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&lt; 15.0ms</w:t>
            </w:r>
          </w:p>
        </w:tc>
        <w:tc>
          <w:tcPr>
            <w:tcW w:type="dxa" w:w="1337"/>
            <w:shd w:fill="F0F4F8"/>
          </w:tcPr>
          <w:p>
            <w:r>
              <w:rPr>
                <w:b w:val="0"/>
              </w:rPr>
              <w:t>&lt; 28.0ms (SLA Compliant)</w:t>
            </w:r>
          </w:p>
        </w:tc>
      </w:tr>
      <w:tr>
        <w:tc>
          <w:tcPr>
            <w:tcW w:type="dxa" w:w="1337"/>
          </w:tcPr>
          <w:p>
            <w:r>
              <w:rPr>
                <w:b w:val="0"/>
              </w:rPr>
              <w:t>Total Evaluation Time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2,520s (~42m)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2,650s (~44m)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2,544s (~42m)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2,955s (~49m)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2,021s (~33.7m)</w:t>
            </w:r>
          </w:p>
        </w:tc>
        <w:tc>
          <w:tcPr>
            <w:tcW w:type="dxa" w:w="1337"/>
          </w:tcPr>
          <w:p>
            <w:r>
              <w:rPr>
                <w:b w:val="0"/>
              </w:rPr>
              <w:t>1,884s (~31.4m) [FAST!]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Performance Progression Across Complexity Tiers</w:t>
      </w:r>
    </w:p>
    <w:p>
      <w:pPr>
        <w:spacing w:after="120"/>
      </w:pPr>
      <w:r>
        <w:t>Tracking accuracy across standardized difficulty levels illustrates how in-context learning and exact Yale evaluation resolve hard relational challenges: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Difficulty Tier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1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2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3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4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4.1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5 (Strict)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5 (Yale)</w:t>
            </w:r>
          </w:p>
        </w:tc>
      </w:tr>
      <w:tr>
        <w:tc>
          <w:tcPr>
            <w:tcW w:type="dxa" w:w="1170"/>
            <w:shd w:fill="F0F4F8"/>
          </w:tcPr>
          <w:p>
            <w:r>
              <w:rPr>
                <w:b w:val="0"/>
              </w:rPr>
              <w:t>Easy (N=458)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84.06% (385)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83.19% (381)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85.81% (393)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77.73% (356)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81.88% (375)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84.72% (388)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88.65% (406)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Medium (N=332)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62.65% (208)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62.05% (206)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74.40% (247)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66.87% (222)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77.71% (258)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77.41% (257)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82.53% (274)</w:t>
            </w:r>
          </w:p>
        </w:tc>
      </w:tr>
      <w:tr>
        <w:tc>
          <w:tcPr>
            <w:tcW w:type="dxa" w:w="1170"/>
            <w:shd w:fill="F0F4F8"/>
          </w:tcPr>
          <w:p>
            <w:r>
              <w:rPr>
                <w:b w:val="0"/>
              </w:rPr>
              <w:t>Hard (N=238)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48.32% (115)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39.50% (94)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65.13% (155)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64.29% (153)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70.17% (167)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71.85% (171)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71.01% (169)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Extra Hard (N=6)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0.00% (0)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66.67% (4)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66.67% (4)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0.00% (0)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16.67% (1)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33.33% (2)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33.33% (2)</w:t>
            </w:r>
          </w:p>
        </w:tc>
      </w:tr>
      <w:tr>
        <w:tc>
          <w:tcPr>
            <w:tcW w:type="dxa" w:w="1170"/>
            <w:shd w:fill="E2E8F0"/>
          </w:tcPr>
          <w:p>
            <w:r>
              <w:rPr>
                <w:b/>
              </w:rPr>
              <w:t>Total (N=1,034)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68.47% (708)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66.25% (685)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77.27% (799)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70.70% (731)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77.47% (801)</w:t>
            </w:r>
          </w:p>
        </w:tc>
        <w:tc>
          <w:tcPr>
            <w:tcW w:type="dxa" w:w="1170"/>
            <w:shd w:fill="D4EDDA"/>
          </w:tcPr>
          <w:p>
            <w:r>
              <w:rPr>
                <w:b/>
              </w:rPr>
              <w:t>79.11% (818)</w:t>
            </w:r>
          </w:p>
        </w:tc>
        <w:tc>
          <w:tcPr>
            <w:tcW w:type="dxa" w:w="1170"/>
            <w:shd w:fill="D4EDDA"/>
          </w:tcPr>
          <w:p>
            <w:r>
              <w:rPr>
                <w:b/>
              </w:rPr>
              <w:t>82.30% (851)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Enterprise System Viability &amp; Multi-Tenant Deployment</w:t>
      </w:r>
    </w:p>
    <w:p>
      <w:r>
        <w:t>Beyond benchmark accuracy, Member 1's architecture is tailored specifically for high-throughput enterprise viability on massive schemas such as NemsuERPNew (100+ tables):</w:t>
        <w:br/>
        <w:br/>
        <w:t>1. Sub-Millisecond Retrieval Overhead: By utilizing an in-memory TF-IDF subword n-gram retriever over 7,000 queries, exemplar selection operates in 2.01 ms per query without remote embedding API calls or external vector databases.</w:t>
        <w:br/>
        <w:t>2. Strict JWT Multi-Tenant Isolation (Member 3 Alignment): The exemplar index is strictly partitioned by Tenant_ID. A tenant's proprietary query patterns and domain acronyms are isolated from all other tenants.</w:t>
        <w:br/>
        <w:t>3. AST Safety &amp; Controlled Write Protocol (Member 2 Alignment): All generated SQL passes through AST inspection to guarantee read-only guarantees or controlled write protocol enforcement before execution.</w:t>
        <w:br/>
        <w:t>4. Downstream Chart Visualization (Member 4 Alignment): Verified relational result sets feed directly into Member 4's automated Vega-Lite charting and predictive analytics pipeline.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