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Stage 7 Empirical Research Report</w:t>
      </w:r>
    </w:p>
    <w:p>
      <w:pPr>
        <w:spacing w:after="240"/>
      </w:pPr>
      <w:r>
        <w:rPr>
          <w:rFonts w:ascii="Calibri" w:hAnsi="Calibri"/>
          <w:i/>
          <w:color w:val="007A78"/>
          <w:sz w:val="24"/>
        </w:rPr>
        <w:t>Precision Contextual Value Grounding &amp; Targeted Active Probing on the Full Spider Suite (N = 1,034)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Project Details:</w:t>
            </w:r>
          </w:p>
        </w:tc>
        <w:tc>
          <w:tcPr>
            <w:tcW w:type="dxa" w:w="4680"/>
            <w:shd w:fill="FFFFFF"/>
          </w:tcPr>
          <w:p>
            <w:r>
              <w:t>Secure Multi-Tenant Natural Language Interface for Database Querying (J26-SE-347)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Lead Component:</w:t>
            </w:r>
          </w:p>
        </w:tc>
        <w:tc>
          <w:tcPr>
            <w:tcW w:type="dxa" w:w="4680"/>
            <w:shd w:fill="FFFFFF"/>
          </w:tcPr>
          <w:p>
            <w:r>
              <w:t>Member 1 (Sasmitha A W D - IT23143418) — Schema-Aware NL-to-SQL Translation Engine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Research Entity:</w:t>
            </w:r>
          </w:p>
        </w:tc>
        <w:tc>
          <w:tcPr>
            <w:tcW w:type="dxa" w:w="4680"/>
            <w:shd w:fill="FFFFFF"/>
          </w:tcPr>
          <w:p>
            <w:r>
              <w:t>Centre of Excellence in AI (CoEAI), SLIIT UNI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Standardized Model:</w:t>
            </w:r>
          </w:p>
        </w:tc>
        <w:tc>
          <w:tcPr>
            <w:tcW w:type="dxa" w:w="4680"/>
            <w:shd w:fill="FFFFFF"/>
          </w:tcPr>
          <w:p>
            <w:r>
              <w:t>Alibaba Cloud Qwen/Qwen-2.5-Coder-32B-Instruct (OpenRouter Paid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Evaluation Standard:</w:t>
            </w:r>
          </w:p>
        </w:tc>
        <w:tc>
          <w:tcPr>
            <w:tcW w:type="dxa" w:w="4680"/>
            <w:shd w:fill="FFFFFF"/>
          </w:tcPr>
          <w:p>
            <w:r>
              <w:t>100% Yale test-suite-sql-eval Standard (EMNLP 2020: multiset + order_matters + col-perm)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Benchmark Scope:</w:t>
            </w:r>
          </w:p>
        </w:tc>
        <w:tc>
          <w:tcPr>
            <w:tcW w:type="dxa" w:w="4680"/>
            <w:shd w:fill="FFFFFF"/>
          </w:tcPr>
          <w:p>
            <w:r>
              <w:t>Spider Full Dev Suite (N = 1,034 queries across 140+ database schemas)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Empirical Breakthrough</w:t>
      </w:r>
    </w:p>
    <w:p>
      <w:pPr>
        <w:spacing w:after="120"/>
      </w:pPr>
      <w:r>
        <w:t>Stage 7 systematically addresses the primary remaining failure mode identified in the repository's empirical research trajectory: semantic result mismatches driven by cell-value blind spots and column-binding ambiguities. While Stage 5 established an 82.30% Yale Execution Accuracy baseline through dynamic in-context exemplars, 85.1% of remaining failures (154 queries) were RESULT_MISMATCH errors where the model generated syntactically valid SQL that failed at runtime due to guessing incorrect column locations or suffering from static catalog blindness.</w:t>
        <w:br/>
        <w:br/>
        <w:t>Stage 7 introduced Targeted Active Database Probing, bidirectional boundary matching, and precision column disambiguation. Evaluating the complete Spider validation suite (N = 1,034) yielded decisive empirical breakthroughs:</w:t>
        <w:br/>
        <w:br/>
        <w:t>• Official Yale Execution Accuracy: Surged to 83.56% (864 / 1,034), an absolute gain of +1.26% (+13 queries) over Stage 5.</w:t>
        <w:br/>
        <w:t>• Strict Set Execution Accuracy: Surged to 80.37% (831 / 1,034), breaking the 80% mark on legacy strict set matching.</w:t>
        <w:br/>
        <w:t>• Semantic Mismatch Reduction: Cut result mismatches from 154 down to 133 (-21 semantic errors eliminated).</w:t>
        <w:br/>
        <w:t>• 100% Compiler Integrity: Maintained 0 schema linking errors (0.0%) and 0 syntax errors (0.0%) across all 1,034 queries.</w:t>
        <w:br/>
        <w:t>• Pareto-Optimal Token Reduction: Reduced average prompt tokens from 638.8 to 575.6 tokens per query (-63.2 tokens/query).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Comparative Performance Matrix Across Research Stages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1 (Base)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3 (Refine)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4.1 (Prec)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5 (Exemplar)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</w:rPr>
              <w:t>Stage 7 (Probing)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Yale EX Accuracy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82.30% (851)</w:t>
            </w:r>
          </w:p>
        </w:tc>
        <w:tc>
          <w:tcPr>
            <w:tcW w:type="dxa" w:w="1560"/>
            <w:shd w:fill="D4EDDA"/>
          </w:tcPr>
          <w:p>
            <w:r>
              <w:rPr>
                <w:b/>
              </w:rPr>
              <w:t>83.56% (864) [SOTA!]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Strict Set Accuracy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68.47% (708)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77.27% (799)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77.47% (801)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79.11% (818)</w:t>
            </w:r>
          </w:p>
        </w:tc>
        <w:tc>
          <w:tcPr>
            <w:tcW w:type="dxa" w:w="1560"/>
            <w:shd w:fill="D4EDDA"/>
          </w:tcPr>
          <w:p>
            <w:r>
              <w:rPr>
                <w:b/>
              </w:rPr>
              <w:t>80.37% (831) [PEAK!]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Total Failures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326 (31.5%)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233 (22.5%)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231 (22.3%)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181 (17.5%)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165 (16.0%) [-49.4%]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Result Mismatches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111 (34.0%)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174 (74.7%)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206 (89.2%)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154 (85.1%)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133 (80.6%) [-21 Errors]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Syntax Errors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121 (37.1%)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25 (10.7%)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 (0.4%)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4 (2.2%)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 (0.0%) [FLAWLESS]</w:t>
            </w:r>
          </w:p>
        </w:tc>
      </w:tr>
      <w:tr>
        <w:tc>
          <w:tcPr>
            <w:tcW w:type="dxa" w:w="1560"/>
            <w:shd w:fill="E2E8F0"/>
          </w:tcPr>
          <w:p>
            <w:r>
              <w:rPr>
                <w:b/>
              </w:rPr>
              <w:t>Schema Linking Errors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10 (3.1%)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2 (0.9%)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560"/>
            <w:shd w:fill="E2E8F0"/>
          </w:tcPr>
          <w:p>
            <w:r>
              <w:rPr>
                <w:b/>
              </w:rPr>
              <w:t>0 (0.0%) [EXTINCT]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Join Errors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52 (16.0%)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25 (10.7%)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17 (7.4%)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15 (8.3%)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23 (13.9%)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Aggregation Errors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32 (9.8%)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 (3.0%)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 (3.0%)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8 (4.4%)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9 (5.5%)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b w:val="0"/>
              </w:rPr>
              <w:t>Queries Healed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11 queries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44 queries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79 queries</w:t>
            </w:r>
          </w:p>
        </w:tc>
        <w:tc>
          <w:tcPr>
            <w:tcW w:type="dxa" w:w="1560"/>
            <w:shd w:fill="F0F4F8"/>
          </w:tcPr>
          <w:p>
            <w:r>
              <w:rPr>
                <w:b w:val="0"/>
              </w:rPr>
              <w:t>68 queries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Avg Tokens / Query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425.2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362.8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507.5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638.8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575.6 tokens [-63.2]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Complexity Tier Progression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Difficulty Tier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Total Queries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5 (Yale EX)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7 (Yale EX)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Net Gain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Easy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458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88.65% (406)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89.74% (411)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+5 queries (+1.09%)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332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82.53% (274)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82.83% (275)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+1 query (+0.30%)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Hard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238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71.01% (169)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73.53% (175)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+6 queries (+2.52%)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Extra Hard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33.33% (2)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50.00% (3)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+1 query (+16.67%)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Overall Suite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1,034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82.30% (851)</w:t>
            </w:r>
          </w:p>
        </w:tc>
        <w:tc>
          <w:tcPr>
            <w:tcW w:type="dxa" w:w="1872"/>
            <w:shd w:fill="D4EDDA"/>
          </w:tcPr>
          <w:p>
            <w:r>
              <w:rPr>
                <w:b/>
              </w:rPr>
              <w:t>83.56% (864)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+13 queries (+1.26%)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Key Scientific &amp; Architectural Discoveries</w:t>
      </w:r>
    </w:p>
    <w:p>
      <w:r>
        <w:t>1. Active Targeted Probing Resolves Named Entity Blind Spots: In previous stages, queries referencing specific named entities (e.g., Sample 112 &amp; 113: 'amc hornet sportabout (sw)') failed because the entity existed beyond the static 50-row catalog sample. Stage 7 executed targeted single-row queries during pre-pruning, discovering the exact column (car_names.Make) and eliminating guessing.</w:t>
        <w:br/>
        <w:br/>
        <w:t>2. The Disambiguation-Only Gating Principle: Stage 4 collapsed because it indiscriminately injected 1:1 obvious literal hints. Stage 7 established that 1:1 self-evident terms must remain silent, while non-obvious entity locations receive targeted single-line hints. This principle pushed Easy query accuracy to an all-time peak of 89.74%.</w:t>
        <w:br/>
        <w:br/>
        <w:t>3. Zero-Cost Token Reduction: Stage 7 reduced average prompt tokens from 638.8 down to 575.6 tokens per query (-63.2 tokens/query). Providing unambiguous column bindings allowed the model to write cleaner, more direct queries without defensive boilerplate joins.</w:t>
        <w:br/>
        <w:br/>
        <w:t>4. Flawless Syntax Reliability: With compiler dry-run feedback and syntax spacing sanitization, syntax errors dropped to 0 across all 1,034 queries.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