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B365D"/>
          <w:sz w:val="36"/>
        </w:rPr>
        <w:t>MASTER RESEARCH EVALUATION &amp; CROSS-STAGE COMPARISON</w:t>
      </w:r>
    </w:p>
    <w:p>
      <w:pPr>
        <w:spacing w:after="280"/>
      </w:pPr>
      <w:r>
        <w:rPr>
          <w:rFonts w:ascii="Calibri" w:hAnsi="Calibri"/>
          <w:i/>
          <w:color w:val="007A78"/>
          <w:sz w:val="22"/>
        </w:rPr>
        <w:t>Project IT4010 (J26-SE-347) — Member 1: Schema-Aware NL-to-SQL Translation Engine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0F4F8"/>
          </w:tcPr>
          <w:p>
            <w:r>
              <w:rPr>
                <w:b/>
              </w:rPr>
              <w:t>Project Title:</w:t>
            </w:r>
          </w:p>
        </w:tc>
        <w:tc>
          <w:tcPr>
            <w:tcW w:type="dxa" w:w="6480"/>
            <w:shd w:fill="F0F4F8"/>
          </w:tcPr>
          <w:p>
            <w:r>
              <w:t>Secure Multi-Tenant Natural Language Interface for Database Querying</w:t>
            </w:r>
          </w:p>
        </w:tc>
      </w:tr>
      <w:tr>
        <w:tc>
          <w:tcPr>
            <w:tcW w:type="dxa" w:w="2880"/>
            <w:shd w:fill="F0F4F8"/>
          </w:tcPr>
          <w:p>
            <w:r>
              <w:rPr>
                <w:b/>
              </w:rPr>
              <w:t>Student Name &amp; ID:</w:t>
            </w:r>
          </w:p>
        </w:tc>
        <w:tc>
          <w:tcPr>
            <w:tcW w:type="dxa" w:w="6480"/>
            <w:shd w:fill="F0F4F8"/>
          </w:tcPr>
          <w:p>
            <w:r>
              <w:t>Sasmitha A W D (IT23143418) — Member 1 Component Lead</w:t>
            </w:r>
          </w:p>
        </w:tc>
      </w:tr>
      <w:tr>
        <w:tc>
          <w:tcPr>
            <w:tcW w:type="dxa" w:w="2880"/>
            <w:shd w:fill="F0F4F8"/>
          </w:tcPr>
          <w:p>
            <w:r>
              <w:rPr>
                <w:b/>
              </w:rPr>
              <w:t>Research Group:</w:t>
            </w:r>
          </w:p>
        </w:tc>
        <w:tc>
          <w:tcPr>
            <w:tcW w:type="dxa" w:w="6480"/>
            <w:shd w:fill="F0F4F8"/>
          </w:tcPr>
          <w:p>
            <w:r>
              <w:t>CoEAI - Centre of Excellence for AI (SLIIT UNI)</w:t>
            </w:r>
          </w:p>
        </w:tc>
      </w:tr>
      <w:tr>
        <w:tc>
          <w:tcPr>
            <w:tcW w:type="dxa" w:w="2880"/>
            <w:shd w:fill="F0F4F8"/>
          </w:tcPr>
          <w:p>
            <w:r>
              <w:rPr>
                <w:b/>
              </w:rPr>
              <w:t>Standardized Model:</w:t>
            </w:r>
          </w:p>
        </w:tc>
        <w:tc>
          <w:tcPr>
            <w:tcW w:type="dxa" w:w="6480"/>
            <w:shd w:fill="F0F4F8"/>
          </w:tcPr>
          <w:p>
            <w:r>
              <w:t>Qwen/Qwen-2.5-Coder-32B-Instruct (via OpenRouter Paid Infrastructure)</w:t>
            </w:r>
          </w:p>
        </w:tc>
      </w:tr>
      <w:tr>
        <w:tc>
          <w:tcPr>
            <w:tcW w:type="dxa" w:w="2880"/>
            <w:shd w:fill="F0F4F8"/>
          </w:tcPr>
          <w:p>
            <w:r>
              <w:rPr>
                <w:b/>
              </w:rPr>
              <w:t>Benchmark Scope:</w:t>
            </w:r>
          </w:p>
        </w:tc>
        <w:tc>
          <w:tcPr>
            <w:tcW w:type="dxa" w:w="6480"/>
            <w:shd w:fill="F0F4F8"/>
          </w:tcPr>
          <w:p>
            <w:r>
              <w:t>Spider Full dev.json Benchmark | N = 1,034 queries across all difficulty tiers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1. Executive Overview &amp; Research Objectives</w:t>
      </w:r>
    </w:p>
    <w:p>
      <w:pPr>
        <w:spacing w:line="276" w:lineRule="auto" w:after="160"/>
      </w:pPr>
      <w:r>
        <w:t>This Master Research Document serves as the authoritative comparative record for Member 1's component of Project J26-SE-347. The primary research objective is to architect a context-optimized, schema-aware Natural Language-to-SQL (NL-to-SQL) translation engine capable of dynamically resolving semantic ambiguities and generating highly accurate relational queries for enterprise multi-tenant databases.</w:t>
        <w:br/>
        <w:br/>
        <w:t>To ensure complete scientific rigor and eliminate model capability drift, all experimental stages are strictly evaluated on the identical foundation model: Qwen-2.5-Coder-32B-Instruct across all 1,034 queries of the Spider benchmark suite. This eliminates confounding variables and isolates the empirical impact of each architectural enhancement from Stage 1 through Stage 4.1.</w:t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2. Master Cross-Stage Empirical Comparison Matrix</w:t>
      </w:r>
    </w:p>
    <w:p>
      <w:pPr>
        <w:spacing w:after="120"/>
      </w:pPr>
      <w:r>
        <w:t>The table below details the progressive metrics across all research phases on the full Spider dataset (N = 1,034):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B365D"/>
          </w:tcPr>
          <w:p>
            <w:r>
              <w:rPr>
                <w:b/>
                <w:color w:val="FFFFFF"/>
              </w:rPr>
              <w:t>Evaluation Metric</w:t>
            </w:r>
          </w:p>
        </w:tc>
        <w:tc>
          <w:tcPr>
            <w:tcW w:type="dxa" w:w="1560"/>
            <w:shd w:fill="1B365D"/>
          </w:tcPr>
          <w:p>
            <w:r>
              <w:rPr>
                <w:b/>
                <w:color w:val="FFFFFF"/>
              </w:rPr>
              <w:t>Stage 1: Base</w:t>
            </w:r>
          </w:p>
        </w:tc>
        <w:tc>
          <w:tcPr>
            <w:tcW w:type="dxa" w:w="1560"/>
            <w:shd w:fill="1B365D"/>
          </w:tcPr>
          <w:p>
            <w:r>
              <w:rPr>
                <w:b/>
                <w:color w:val="FFFFFF"/>
              </w:rPr>
              <w:t>Stage 2: Prune</w:t>
            </w:r>
          </w:p>
        </w:tc>
        <w:tc>
          <w:tcPr>
            <w:tcW w:type="dxa" w:w="1560"/>
            <w:shd w:fill="1B365D"/>
          </w:tcPr>
          <w:p>
            <w:r>
              <w:rPr>
                <w:b/>
                <w:color w:val="FFFFFF"/>
              </w:rPr>
              <w:t>Stage 3: Refine</w:t>
            </w:r>
          </w:p>
        </w:tc>
        <w:tc>
          <w:tcPr>
            <w:tcW w:type="dxa" w:w="1560"/>
            <w:shd w:fill="1B365D"/>
          </w:tcPr>
          <w:p>
            <w:r>
              <w:rPr>
                <w:b/>
                <w:color w:val="FFFFFF"/>
              </w:rPr>
              <w:t>Stage 4: Entity</w:t>
            </w:r>
          </w:p>
        </w:tc>
        <w:tc>
          <w:tcPr>
            <w:tcW w:type="dxa" w:w="1560"/>
            <w:shd w:fill="1B365D"/>
          </w:tcPr>
          <w:p>
            <w:r>
              <w:rPr>
                <w:b/>
                <w:color w:val="FFFFFF"/>
              </w:rPr>
              <w:t>Stage 4.1: Precision</w:t>
            </w:r>
          </w:p>
        </w:tc>
      </w:tr>
      <w:tr>
        <w:tc>
          <w:tcPr>
            <w:tcW w:type="dxa" w:w="1560"/>
            <w:shd w:fill="F0F4F8"/>
          </w:tcPr>
          <w:p>
            <w:r>
              <w:rPr>
                <w:b w:val="0"/>
              </w:rPr>
              <w:t>Pipeline State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Unpruned Full DDL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Minimal Extractor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Self-Correction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Graph + Ground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Silent Prot. + Sanitizer</w:t>
            </w:r>
          </w:p>
        </w:tc>
      </w:tr>
      <w:tr>
        <w:tc>
          <w:tcPr>
            <w:tcW w:type="dxa" w:w="1560"/>
          </w:tcPr>
          <w:p>
            <w:r>
              <w:rPr>
                <w:b w:val="0"/>
              </w:rPr>
              <w:t>Validation Status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Validated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Validated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Validated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Validated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Empirically Validated</w:t>
            </w:r>
          </w:p>
        </w:tc>
      </w:tr>
      <w:tr>
        <w:tc>
          <w:tcPr>
            <w:tcW w:type="dxa" w:w="1560"/>
            <w:shd w:fill="E2E8F0"/>
          </w:tcPr>
          <w:p>
            <w:r>
              <w:rPr>
                <w:b/>
              </w:rPr>
              <w:t>Execution Accuracy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68.47% (708)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66.25% (685)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77.27% (799)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70.70% (731)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77.47% (801) [PEAK!]</w:t>
            </w:r>
          </w:p>
        </w:tc>
      </w:tr>
      <w:tr>
        <w:tc>
          <w:tcPr>
            <w:tcW w:type="dxa" w:w="1560"/>
          </w:tcPr>
          <w:p>
            <w:r>
              <w:rPr>
                <w:b w:val="0"/>
              </w:rPr>
              <w:t>Total Query Failures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326 (31.5%)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349 (33.8%)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233 (22.5%)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301 (29.1%)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231 (22.3%) [-95 FAILS]</w:t>
            </w:r>
          </w:p>
        </w:tc>
      </w:tr>
      <w:tr>
        <w:tc>
          <w:tcPr>
            <w:tcW w:type="dxa" w:w="1560"/>
            <w:shd w:fill="F0F4F8"/>
          </w:tcPr>
          <w:p>
            <w:r>
              <w:rPr>
                <w:b w:val="0"/>
              </w:rPr>
              <w:t>Avg. Prompt Tokens / Q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386.4 tokens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325.4 (-15.8%)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330.4 (-14.5%)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479.7 tokens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460.2 tokens</w:t>
            </w:r>
          </w:p>
        </w:tc>
      </w:tr>
      <w:tr>
        <w:tc>
          <w:tcPr>
            <w:tcW w:type="dxa" w:w="1560"/>
          </w:tcPr>
          <w:p>
            <w:r>
              <w:rPr>
                <w:b w:val="0"/>
              </w:rPr>
              <w:t>Avg. Output Tokens / Q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40.0 tokens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43.9 tokens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33.9 tokens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39.1 tokens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36.7 tokens</w:t>
            </w:r>
          </w:p>
        </w:tc>
      </w:tr>
      <w:tr>
        <w:tc>
          <w:tcPr>
            <w:tcW w:type="dxa" w:w="1560"/>
            <w:shd w:fill="F0F4F8"/>
          </w:tcPr>
          <w:p>
            <w:r>
              <w:rPr>
                <w:b w:val="0"/>
              </w:rPr>
              <w:t>Syntax Errors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121 (37.1%)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142 (40.7%)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25 (10.7%)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50 (16.6%)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1 (0.4%) [-98.0%]</w:t>
            </w:r>
          </w:p>
        </w:tc>
      </w:tr>
      <w:tr>
        <w:tc>
          <w:tcPr>
            <w:tcW w:type="dxa" w:w="1560"/>
            <w:shd w:fill="E2E8F0"/>
          </w:tcPr>
          <w:p>
            <w:r>
              <w:rPr>
                <w:b/>
              </w:rPr>
              <w:t>Schema Linking Errors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10 (3.1%)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11 (3.2%)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2 (0.9%)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0 (0.0%)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0 (0.0%) [EXTINCT!]</w:t>
            </w:r>
          </w:p>
        </w:tc>
      </w:tr>
      <w:tr>
        <w:tc>
          <w:tcPr>
            <w:tcW w:type="dxa" w:w="1560"/>
            <w:shd w:fill="E2E8F0"/>
          </w:tcPr>
          <w:p>
            <w:r>
              <w:rPr>
                <w:b/>
              </w:rPr>
              <w:t>Join Path Errors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52 (16.0%)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48 (13.8%)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25 (10.7%)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13 (4.3%)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17 (7.4%)</w:t>
            </w:r>
          </w:p>
        </w:tc>
      </w:tr>
      <w:tr>
        <w:tc>
          <w:tcPr>
            <w:tcW w:type="dxa" w:w="1560"/>
          </w:tcPr>
          <w:p>
            <w:r>
              <w:rPr>
                <w:b w:val="0"/>
              </w:rPr>
              <w:t>Aggregation Errors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32 (9.8%)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29 (8.3%)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7 (3.0%)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83 (27.6%)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7 (3.0%) [-91.6%]</w:t>
            </w:r>
          </w:p>
        </w:tc>
      </w:tr>
      <w:tr>
        <w:tc>
          <w:tcPr>
            <w:tcW w:type="dxa" w:w="1560"/>
            <w:shd w:fill="E2E8F0"/>
          </w:tcPr>
          <w:p>
            <w:r>
              <w:rPr>
                <w:b/>
              </w:rPr>
              <w:t>Healed Queries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0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0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11 queries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19 queries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44 queries [+131.6%]</w:t>
            </w:r>
          </w:p>
        </w:tc>
      </w:tr>
      <w:tr>
        <w:tc>
          <w:tcPr>
            <w:tcW w:type="dxa" w:w="1560"/>
          </w:tcPr>
          <w:p>
            <w:r>
              <w:rPr>
                <w:b w:val="0"/>
              </w:rPr>
              <w:t>Engine Local Latency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0.0ms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4.5ms / Q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4.8ms / Q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18.06ms / Q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&lt; 15.0ms (SLA Compliant)</w:t>
            </w:r>
          </w:p>
        </w:tc>
      </w:tr>
      <w:tr>
        <w:tc>
          <w:tcPr>
            <w:tcW w:type="dxa" w:w="1560"/>
            <w:shd w:fill="F0F4F8"/>
          </w:tcPr>
          <w:p>
            <w:r>
              <w:rPr>
                <w:b w:val="0"/>
              </w:rPr>
              <w:t>Total Pipeline Runtime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2,520s (~42.0m)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2,650s (~44.1m)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2,544s (~42.4m)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2,955s (~49.2m)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2,021s (~33.7m) [FAST!]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3. Performance Trajectory by Query Complexity Tier</w:t>
      </w:r>
    </w:p>
    <w:p>
      <w:pPr>
        <w:spacing w:after="120"/>
      </w:pPr>
      <w:r>
        <w:t>Analyzing execution accuracy across Spider's standardized complexity levels illustrates where each algorithmic layer delivers its primary performance gain: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B365D"/>
          </w:tcPr>
          <w:p>
            <w:r>
              <w:rPr>
                <w:b/>
                <w:color w:val="FFFFFF"/>
              </w:rPr>
              <w:t>Complexity Level</w:t>
            </w:r>
          </w:p>
        </w:tc>
        <w:tc>
          <w:tcPr>
            <w:tcW w:type="dxa" w:w="1560"/>
            <w:shd w:fill="1B365D"/>
          </w:tcPr>
          <w:p>
            <w:r>
              <w:rPr>
                <w:b/>
                <w:color w:val="FFFFFF"/>
              </w:rPr>
              <w:t>Stage 1</w:t>
            </w:r>
          </w:p>
        </w:tc>
        <w:tc>
          <w:tcPr>
            <w:tcW w:type="dxa" w:w="1560"/>
            <w:shd w:fill="1B365D"/>
          </w:tcPr>
          <w:p>
            <w:r>
              <w:rPr>
                <w:b/>
                <w:color w:val="FFFFFF"/>
              </w:rPr>
              <w:t>Stage 2</w:t>
            </w:r>
          </w:p>
        </w:tc>
        <w:tc>
          <w:tcPr>
            <w:tcW w:type="dxa" w:w="1560"/>
            <w:shd w:fill="1B365D"/>
          </w:tcPr>
          <w:p>
            <w:r>
              <w:rPr>
                <w:b/>
                <w:color w:val="FFFFFF"/>
              </w:rPr>
              <w:t>Stage 3</w:t>
            </w:r>
          </w:p>
        </w:tc>
        <w:tc>
          <w:tcPr>
            <w:tcW w:type="dxa" w:w="1560"/>
            <w:shd w:fill="1B365D"/>
          </w:tcPr>
          <w:p>
            <w:r>
              <w:rPr>
                <w:b/>
                <w:color w:val="FFFFFF"/>
              </w:rPr>
              <w:t>Stage 4</w:t>
            </w:r>
          </w:p>
        </w:tc>
        <w:tc>
          <w:tcPr>
            <w:tcW w:type="dxa" w:w="1560"/>
            <w:shd w:fill="1B365D"/>
          </w:tcPr>
          <w:p>
            <w:r>
              <w:rPr>
                <w:b/>
                <w:color w:val="FFFFFF"/>
              </w:rPr>
              <w:t>Stage 4.1: Precision</w:t>
            </w:r>
          </w:p>
        </w:tc>
      </w:tr>
      <w:tr>
        <w:tc>
          <w:tcPr>
            <w:tcW w:type="dxa" w:w="1560"/>
            <w:shd w:fill="F0F4F8"/>
          </w:tcPr>
          <w:p>
            <w:r>
              <w:rPr>
                <w:b w:val="0"/>
              </w:rPr>
              <w:t>Easy (N = 458)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84.06% (385)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83.19% (381)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85.81% (393)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77.73% (356)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81.88% (375) [+4.15%]</w:t>
            </w:r>
          </w:p>
        </w:tc>
      </w:tr>
      <w:tr>
        <w:tc>
          <w:tcPr>
            <w:tcW w:type="dxa" w:w="1560"/>
          </w:tcPr>
          <w:p>
            <w:r>
              <w:rPr>
                <w:b w:val="0"/>
              </w:rPr>
              <w:t>Medium (N = 332)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62.65% (208)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62.05% (206)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74.40% (247)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66.87% (222)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77.71% (258) [PEAK!]</w:t>
            </w:r>
          </w:p>
        </w:tc>
      </w:tr>
      <w:tr>
        <w:tc>
          <w:tcPr>
            <w:tcW w:type="dxa" w:w="1560"/>
            <w:shd w:fill="F0F4F8"/>
          </w:tcPr>
          <w:p>
            <w:r>
              <w:rPr>
                <w:b w:val="0"/>
              </w:rPr>
              <w:t>Hard (N = 238)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48.32% (115)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39.50% (94)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65.13% (155)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64.29% (153)</w:t>
            </w:r>
          </w:p>
        </w:tc>
        <w:tc>
          <w:tcPr>
            <w:tcW w:type="dxa" w:w="1560"/>
            <w:shd w:fill="F0F4F8"/>
          </w:tcPr>
          <w:p>
            <w:r>
              <w:rPr>
                <w:b w:val="0"/>
              </w:rPr>
              <w:t>70.17% (167) [PEAK!]</w:t>
            </w:r>
          </w:p>
        </w:tc>
      </w:tr>
      <w:tr>
        <w:tc>
          <w:tcPr>
            <w:tcW w:type="dxa" w:w="1560"/>
          </w:tcPr>
          <w:p>
            <w:r>
              <w:rPr>
                <w:b w:val="0"/>
              </w:rPr>
              <w:t>Extra Hard (N = 6)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0.00% (0)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66.67% (4)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66.67% (4)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0.00% (0)</w:t>
            </w:r>
          </w:p>
        </w:tc>
        <w:tc>
          <w:tcPr>
            <w:tcW w:type="dxa" w:w="1560"/>
          </w:tcPr>
          <w:p>
            <w:r>
              <w:rPr>
                <w:b w:val="0"/>
              </w:rPr>
              <w:t>16.67% (1)</w:t>
            </w:r>
          </w:p>
        </w:tc>
      </w:tr>
      <w:tr>
        <w:tc>
          <w:tcPr>
            <w:tcW w:type="dxa" w:w="1560"/>
            <w:shd w:fill="E2E8F0"/>
          </w:tcPr>
          <w:p>
            <w:r>
              <w:rPr>
                <w:b/>
              </w:rPr>
              <w:t>Overall (N = 1,034)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68.47% (708)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66.25% (685)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77.27% (799)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70.70% (731)</w:t>
            </w:r>
          </w:p>
        </w:tc>
        <w:tc>
          <w:tcPr>
            <w:tcW w:type="dxa" w:w="1560"/>
            <w:shd w:fill="E2E8F0"/>
          </w:tcPr>
          <w:p>
            <w:r>
              <w:rPr>
                <w:b/>
              </w:rPr>
              <w:t>77.47% (801) [RECORD]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4. Scientific Novelty &amp; Dissertation Defense Pillars</w:t>
      </w:r>
    </w:p>
    <w:p>
      <w:pPr>
        <w:spacing w:after="120"/>
      </w:pPr>
      <w:r>
        <w:t>In peer-reviewed publications and oral examinations, Member 1's contributions are founded on four novel pillars:</w:t>
      </w:r>
    </w:p>
    <w:p>
      <w:pPr>
        <w:keepNext/>
        <w:spacing w:before="240" w:after="80"/>
      </w:pPr>
      <w:r>
        <w:rPr>
          <w:rFonts w:ascii="Calibri" w:hAnsi="Calibri"/>
          <w:b/>
          <w:color w:val="007A78"/>
          <w:sz w:val="24"/>
        </w:rPr>
        <w:t>Pillar 1: The Pareto-Optimal Token-to-Accuracy Frontier</w:t>
      </w:r>
    </w:p>
    <w:p>
      <w:pPr>
        <w:spacing w:after="120"/>
      </w:pPr>
      <w:r>
        <w:t>Existing high-accuracy systems (e.g. DIN-SQL, MAC-SQL) require full schema dumps and exhaustive agentic loops (&gt; 2,000 tokens/query). Member 1 introduces an architecture achieving 77.47% accuracy while consuming only 460.2 prompt tokens/query via deterministic lexical relevance scoring and foreign-key graph closure.</w:t>
      </w:r>
    </w:p>
    <w:p>
      <w:pPr>
        <w:keepNext/>
        <w:spacing w:before="240" w:after="80"/>
      </w:pPr>
      <w:r>
        <w:rPr>
          <w:rFonts w:ascii="Calibri" w:hAnsi="Calibri"/>
          <w:b/>
          <w:color w:val="007A78"/>
          <w:sz w:val="24"/>
        </w:rPr>
        <w:t>Pillar 2: The Silent Schema Protection Paradigm</w:t>
      </w:r>
    </w:p>
    <w:p>
      <w:pPr>
        <w:spacing w:after="120"/>
      </w:pPr>
      <w:r>
        <w:t>Prior works assume entity/value grounding requires injecting matched cell values directly into the prompt. Member 1 proves that cell values are most effective as a deterministic schema-protection filter: preserving tables from catalog pruning while withholding literal 1:1 word hints from the prompt. This permanently eliminated schema linking errors (0 across 1,034 queries) while preventing prompt clutter.</w:t>
      </w:r>
    </w:p>
    <w:p>
      <w:pPr>
        <w:keepNext/>
        <w:spacing w:before="240" w:after="80"/>
      </w:pPr>
      <w:r>
        <w:rPr>
          <w:rFonts w:ascii="Calibri" w:hAnsi="Calibri"/>
          <w:b/>
          <w:color w:val="007A78"/>
          <w:sz w:val="24"/>
        </w:rPr>
        <w:t>Pillar 3: Zero-Side-Effect Compiler Dry-Run Self-Correction</w:t>
      </w:r>
    </w:p>
    <w:p>
      <w:pPr>
        <w:spacing w:after="120"/>
      </w:pPr>
      <w:r>
        <w:t>Prior self-correction pipelines execute queries on live data, creating risks of locking and data mutation in multi-tenant ERPs. Member 1 validates SQL using non-executing compiler primitives (SQLite EXPLAIN, SQL Server SET NOEXEC ON), coupled with a compiler-gated tokenizer sanitizer that eliminated 98% of syntax errors (50 down to 1) with zero runtime risk on live tenant data.</w:t>
      </w:r>
    </w:p>
    <w:p>
      <w:pPr>
        <w:keepNext/>
        <w:spacing w:before="240" w:after="80"/>
      </w:pPr>
      <w:r>
        <w:rPr>
          <w:rFonts w:ascii="Calibri" w:hAnsi="Calibri"/>
          <w:b/>
          <w:color w:val="007A78"/>
          <w:sz w:val="24"/>
        </w:rPr>
        <w:t>Pillar 4: Multi-Hop Relational Synthesis under Constraint</w:t>
      </w:r>
    </w:p>
    <w:p>
      <w:pPr>
        <w:spacing w:after="160"/>
      </w:pPr>
      <w:r>
        <w:t>Dijkstra shortest-path traversal on the relational schema graph discovers and injects minimal Steiner bridge tables, lifting Hard query execution accuracy to an all-time peak of 70.17% (+21.85% over baseline).</w:t>
      </w: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5. Architectural Integration &amp; Component Boundaries</w:t>
      </w:r>
    </w:p>
    <w:p>
      <w:pPr>
        <w:spacing w:after="320"/>
      </w:pPr>
      <w:r>
        <w:t>Member 1 operates as the central translation engine within the four-component multi-tenant architecture:</w:t>
        <w:br/>
        <w:t>• Upstream Input: Receives JWT claims and first-stage security directives from Member 3 (Access Control &amp; Federated Auth).</w:t>
        <w:br/>
        <w:t>• Core Translation: Performs schema pruning, CRP prompt generation, dry-run refinement, silent grounding, and graph routing.</w:t>
        <w:br/>
        <w:t>• Downstream Handshake: Delivers syntactically valid SQL to Member 2 (AST Security Middleware) for AST safety allowlisting, row-level tenant rewriting, and Controlled Write Protocol validation.</w:t>
        <w:br/>
        <w:t>• Analytics Delivery: Passes verified query results to Member 4 for Vega-Lite visualization and temporal forecasting.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82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