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0"/>
        </w:rPr>
        <w:t>Master Research &amp; Comparative Evaluation Document</w:t>
      </w:r>
    </w:p>
    <w:p>
      <w:pPr>
        <w:spacing w:after="240"/>
      </w:pPr>
      <w:r>
        <w:rPr>
          <w:rFonts w:ascii="Calibri" w:hAnsi="Calibri"/>
          <w:i/>
          <w:color w:val="007A78"/>
          <w:sz w:val="22"/>
        </w:rPr>
        <w:t>End-to-End Scientific Evaluation Across 7 Research Developmental Stages on the Spider Benchmark Suite (N = 1,034)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Project Details:</w:t>
            </w:r>
          </w:p>
        </w:tc>
        <w:tc>
          <w:tcPr>
            <w:tcW w:type="dxa" w:w="4680"/>
            <w:shd w:fill="FFFFFF"/>
          </w:tcPr>
          <w:p>
            <w:r>
              <w:t>Secure Multi-Tenant Natural Language Interface for Database Querying (J26-SE-347)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Research Entity:</w:t>
            </w:r>
          </w:p>
        </w:tc>
        <w:tc>
          <w:tcPr>
            <w:tcW w:type="dxa" w:w="4680"/>
            <w:shd w:fill="FFFFFF"/>
          </w:tcPr>
          <w:p>
            <w:r>
              <w:t>Centre of Excellence in AI (CoEAI), SLIIT UNI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Lead Researcher:</w:t>
            </w:r>
          </w:p>
        </w:tc>
        <w:tc>
          <w:tcPr>
            <w:tcW w:type="dxa" w:w="4680"/>
            <w:shd w:fill="FFFFFF"/>
          </w:tcPr>
          <w:p>
            <w:r>
              <w:t>Sasmitha A W D (IT23143418) — Member 1: Schema-Aware NL-to-SQL Translation Engine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Standardized Baseline:</w:t>
            </w:r>
          </w:p>
        </w:tc>
        <w:tc>
          <w:tcPr>
            <w:tcW w:type="dxa" w:w="4680"/>
            <w:shd w:fill="FFFFFF"/>
          </w:tcPr>
          <w:p>
            <w:r>
              <w:t>Alibaba Cloud Qwen/Qwen-2.5-Coder-32B-Instruct (OpenRouter Paid Tier)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Evaluation Standard:</w:t>
            </w:r>
          </w:p>
        </w:tc>
        <w:tc>
          <w:tcPr>
            <w:tcW w:type="dxa" w:w="4680"/>
            <w:shd w:fill="FFFFFF"/>
          </w:tcPr>
          <w:p>
            <w:r>
              <w:t>100% Yale test-suite-sql-eval Standard (EMNLP 2020: multiset + order_matters + col-perm)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color w:val="1B365D"/>
              </w:rPr>
              <w:t>Benchmarked Scope:</w:t>
            </w:r>
          </w:p>
        </w:tc>
        <w:tc>
          <w:tcPr>
            <w:tcW w:type="dxa" w:w="4680"/>
            <w:shd w:fill="FFFFFF"/>
          </w:tcPr>
          <w:p>
            <w:r>
              <w:t>Spider Full Dev Suite (N = 1,034 queries across 140+ relational schemas)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Executive Overview &amp; Research Directives</w:t>
      </w:r>
    </w:p>
    <w:p>
      <w:pPr>
        <w:spacing w:after="120"/>
      </w:pPr>
      <w:r>
        <w:t>This Master Research Document serves as the authoritative comparative record for Member 1's component of Project J26-SE-347. The primary research objective is to architect an enterprise-grade, schema-aware Natural Language-to-SQL (NL-to-SQL) translation engine capable of dynamically resolving semantic ambiguities and generating highly accurate relational queries for enterprise multi-tenant databases.</w:t>
        <w:br/>
        <w:br/>
        <w:t>To ensure complete scientific rigor and eliminate model capability drift, all experimental stages are strictly evaluated on the identical foundation model: Qwen-2.5-Coder-32B-Instruct across all 1,034 queries of the Spider benchmark suite. With Stage 7 (Precision Value Grounding &amp; Targeted Active Probing), the engine reached 83.56% Yale Execution Accuracy (864/1,034) and 80.37% Strict Accuracy (831/1,034), eliminating 21 semantic result mismatches and driving syntax errors to 0.0%.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Master 8-Stage Empirical Evolution Matrix</w:t>
      </w:r>
    </w:p>
    <w:p>
      <w:pPr>
        <w:spacing w:after="120"/>
      </w:pPr>
      <w:r>
        <w:t>The table below details the progressive metrics across all 8 research developmental stages on the full Spider dataset (N = 1,034):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B365D"/>
          </w:tcPr>
          <w:p>
            <w:r>
              <w:rPr>
                <w:b/>
                <w:color w:val="FFFFFF"/>
              </w:rPr>
              <w:t>Evaluation Metric</w:t>
            </w:r>
          </w:p>
        </w:tc>
        <w:tc>
          <w:tcPr>
            <w:tcW w:type="dxa" w:w="1040"/>
            <w:shd w:fill="1B365D"/>
          </w:tcPr>
          <w:p>
            <w:r>
              <w:rPr>
                <w:b/>
                <w:color w:val="FFFFFF"/>
              </w:rPr>
              <w:t>Stage 1: Base</w:t>
            </w:r>
          </w:p>
        </w:tc>
        <w:tc>
          <w:tcPr>
            <w:tcW w:type="dxa" w:w="1040"/>
            <w:shd w:fill="1B365D"/>
          </w:tcPr>
          <w:p>
            <w:r>
              <w:rPr>
                <w:b/>
                <w:color w:val="FFFFFF"/>
              </w:rPr>
              <w:t>Stage 2: Prune</w:t>
            </w:r>
          </w:p>
        </w:tc>
        <w:tc>
          <w:tcPr>
            <w:tcW w:type="dxa" w:w="1040"/>
            <w:shd w:fill="1B365D"/>
          </w:tcPr>
          <w:p>
            <w:r>
              <w:rPr>
                <w:b/>
                <w:color w:val="FFFFFF"/>
              </w:rPr>
              <w:t>Stage 3: Refine</w:t>
            </w:r>
          </w:p>
        </w:tc>
        <w:tc>
          <w:tcPr>
            <w:tcW w:type="dxa" w:w="1040"/>
            <w:shd w:fill="1B365D"/>
          </w:tcPr>
          <w:p>
            <w:r>
              <w:rPr>
                <w:b/>
                <w:color w:val="FFFFFF"/>
              </w:rPr>
              <w:t>Stage 4: Entity</w:t>
            </w:r>
          </w:p>
        </w:tc>
        <w:tc>
          <w:tcPr>
            <w:tcW w:type="dxa" w:w="1040"/>
            <w:shd w:fill="1B365D"/>
          </w:tcPr>
          <w:p>
            <w:r>
              <w:rPr>
                <w:b/>
                <w:color w:val="FFFFFF"/>
              </w:rPr>
              <w:t>Stage 4.1: Prec.</w:t>
            </w:r>
          </w:p>
        </w:tc>
        <w:tc>
          <w:tcPr>
            <w:tcW w:type="dxa" w:w="1040"/>
            <w:shd w:fill="1B365D"/>
          </w:tcPr>
          <w:p>
            <w:r>
              <w:rPr>
                <w:b/>
                <w:color w:val="FFFFFF"/>
              </w:rPr>
              <w:t>Stage 5: Exemplar</w:t>
            </w:r>
          </w:p>
        </w:tc>
        <w:tc>
          <w:tcPr>
            <w:tcW w:type="dxa" w:w="1040"/>
            <w:shd w:fill="1B365D"/>
          </w:tcPr>
          <w:p>
            <w:r>
              <w:rPr>
                <w:b/>
                <w:color w:val="FFFFFF"/>
              </w:rPr>
              <w:t>Stage 7: Probing</w:t>
            </w:r>
          </w:p>
        </w:tc>
        <w:tc>
          <w:tcPr>
            <w:tcW w:type="dxa" w:w="1040"/>
            <w:shd w:fill="1B365D"/>
          </w:tcPr>
          <w:p>
            <w:r>
              <w:rPr>
                <w:b/>
                <w:color w:val="FFFFFF"/>
              </w:rPr>
              <w:t>Stage 8A: Routing</w:t>
            </w:r>
          </w:p>
        </w:tc>
      </w:tr>
      <w:tr>
        <w:tc>
          <w:tcPr>
            <w:tcW w:type="dxa" w:w="1040"/>
            <w:shd w:fill="F0F4F8"/>
          </w:tcPr>
          <w:p>
            <w:r>
              <w:rPr>
                <w:b w:val="0"/>
              </w:rPr>
              <w:t>Architecture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Full DDL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Static Minimal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Closed-Loop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Graph + Ground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Silent Sanitizer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DAIL + Yale Eval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Active Probe + Disambig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Intent Join + Gating</w:t>
            </w:r>
          </w:p>
        </w:tc>
      </w:tr>
      <w:tr>
        <w:tc>
          <w:tcPr>
            <w:tcW w:type="dxa" w:w="1040"/>
          </w:tcPr>
          <w:p>
            <w:r>
              <w:rPr>
                <w:b w:val="0"/>
              </w:rPr>
              <w:t>Sample Size (N)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1,034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1,034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1,034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1,034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1,034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1,034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1,034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1,034</w:t>
            </w:r>
          </w:p>
        </w:tc>
      </w:tr>
      <w:tr>
        <w:tc>
          <w:tcPr>
            <w:tcW w:type="dxa" w:w="1040"/>
            <w:shd w:fill="E2E8F0"/>
          </w:tcPr>
          <w:p>
            <w:r>
              <w:rPr>
                <w:b/>
              </w:rPr>
              <w:t>Yale EX Accuracy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N/A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N/A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N/A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N/A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N/A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82.30% (851)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83.56% (864)</w:t>
            </w:r>
          </w:p>
        </w:tc>
        <w:tc>
          <w:tcPr>
            <w:tcW w:type="dxa" w:w="1040"/>
            <w:shd w:fill="D4EDDA"/>
          </w:tcPr>
          <w:p>
            <w:r>
              <w:rPr>
                <w:b/>
              </w:rPr>
              <w:t>84.24% (871) [SOTA!]</w:t>
            </w:r>
          </w:p>
        </w:tc>
      </w:tr>
      <w:tr>
        <w:tc>
          <w:tcPr>
            <w:tcW w:type="dxa" w:w="1040"/>
            <w:shd w:fill="E2E8F0"/>
          </w:tcPr>
          <w:p>
            <w:r>
              <w:rPr>
                <w:b/>
              </w:rPr>
              <w:t>Strict EX Accuracy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68.47% (708)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66.25% (685)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77.27% (799)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70.70% (731)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77.47% (801)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79.11% (818)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80.37% (831)</w:t>
            </w:r>
          </w:p>
        </w:tc>
        <w:tc>
          <w:tcPr>
            <w:tcW w:type="dxa" w:w="1040"/>
            <w:shd w:fill="D4EDDA"/>
          </w:tcPr>
          <w:p>
            <w:r>
              <w:rPr>
                <w:b/>
              </w:rPr>
              <w:t>81.24% (840) [PEAK!]</w:t>
            </w:r>
          </w:p>
        </w:tc>
      </w:tr>
      <w:tr>
        <w:tc>
          <w:tcPr>
            <w:tcW w:type="dxa" w:w="1040"/>
            <w:shd w:fill="F0F4F8"/>
          </w:tcPr>
          <w:p>
            <w:r>
              <w:rPr>
                <w:b w:val="0"/>
              </w:rPr>
              <w:t>Total Query Failures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326 (31.5%)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349 (33.8%)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233 (22.5%)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301 (29.1%)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231 (22.3%)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181 (17.5%)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165 (16.0%)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161 (15.6%) [-50.6%]</w:t>
            </w:r>
          </w:p>
        </w:tc>
      </w:tr>
      <w:tr>
        <w:tc>
          <w:tcPr>
            <w:tcW w:type="dxa" w:w="1040"/>
            <w:shd w:fill="E2E8F0"/>
          </w:tcPr>
          <w:p>
            <w:r>
              <w:rPr>
                <w:b/>
              </w:rPr>
              <w:t>Schema Linking Errors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10 (3.1%)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11 (3.2%)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2 (0.9%)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0 (0.0%)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0 (0.0%)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0 (0.0%)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0 (0.0%)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0 (0.0%) [EXTINCT!]</w:t>
            </w:r>
          </w:p>
        </w:tc>
      </w:tr>
      <w:tr>
        <w:tc>
          <w:tcPr>
            <w:tcW w:type="dxa" w:w="1040"/>
            <w:shd w:fill="F0F4F8"/>
          </w:tcPr>
          <w:p>
            <w:r>
              <w:rPr>
                <w:b w:val="0"/>
              </w:rPr>
              <w:t>Join Errors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52 (16.0%)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48 (13.8%)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25 (10.7%)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13 (4.3%)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17 (7.4%)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15 (8.3%)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23 (13.9%)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20 (12.4%) [-3]</w:t>
            </w:r>
          </w:p>
        </w:tc>
      </w:tr>
      <w:tr>
        <w:tc>
          <w:tcPr>
            <w:tcW w:type="dxa" w:w="1040"/>
          </w:tcPr>
          <w:p>
            <w:r>
              <w:rPr>
                <w:b w:val="0"/>
              </w:rPr>
              <w:t>Aggregation Errors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32 (9.8%)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29 (8.3%)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7 (3.0%)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83 (27.6%)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7 (3.0%)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8 (4.4%)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9 (5.5%)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10 (6.2%)</w:t>
            </w:r>
          </w:p>
        </w:tc>
      </w:tr>
      <w:tr>
        <w:tc>
          <w:tcPr>
            <w:tcW w:type="dxa" w:w="1040"/>
            <w:shd w:fill="E2E8F0"/>
          </w:tcPr>
          <w:p>
            <w:r>
              <w:rPr>
                <w:b/>
              </w:rPr>
              <w:t>Syntax Errors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121 (37.1%)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142 (40.7%)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25 (10.7%)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50 (16.6%)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1 (0.4%)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4 (2.2%)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0 (0.0%)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3 (1.9%)</w:t>
            </w:r>
          </w:p>
        </w:tc>
      </w:tr>
      <w:tr>
        <w:tc>
          <w:tcPr>
            <w:tcW w:type="dxa" w:w="1040"/>
          </w:tcPr>
          <w:p>
            <w:r>
              <w:rPr>
                <w:b w:val="0"/>
              </w:rPr>
              <w:t>Result Mismatches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111 (34.0%)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119 (34.1%)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174 (74.7%)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157 (52.2%)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206 (89.2%)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154 (85.1%)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133 (80.6%)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128 (79.5%) [-5]</w:t>
            </w:r>
          </w:p>
        </w:tc>
      </w:tr>
      <w:tr>
        <w:tc>
          <w:tcPr>
            <w:tcW w:type="dxa" w:w="1040"/>
            <w:shd w:fill="E2E8F0"/>
          </w:tcPr>
          <w:p>
            <w:r>
              <w:rPr>
                <w:b/>
              </w:rPr>
              <w:t>Healed Queries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0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0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11 queries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19 queries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44 queries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79 queries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68 queries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50 queries</w:t>
            </w:r>
          </w:p>
        </w:tc>
      </w:tr>
      <w:tr>
        <w:tc>
          <w:tcPr>
            <w:tcW w:type="dxa" w:w="1040"/>
          </w:tcPr>
          <w:p>
            <w:r>
              <w:rPr>
                <w:b w:val="0"/>
              </w:rPr>
              <w:t>Avg. Prompt Tokens / Q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386.4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325.4 (-15.8%)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330.4 (-14.5%)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479.7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460.2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588.6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535.3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552.9 tokens</w:t>
            </w:r>
          </w:p>
        </w:tc>
      </w:tr>
      <w:tr>
        <w:tc>
          <w:tcPr>
            <w:tcW w:type="dxa" w:w="1040"/>
            <w:shd w:fill="F0F4F8"/>
          </w:tcPr>
          <w:p>
            <w:r>
              <w:rPr>
                <w:b w:val="0"/>
              </w:rPr>
              <w:t>Avg Local Latency / Q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0.0ms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4.5ms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4.8ms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18.06ms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&lt; 15.0ms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&lt; 28.0ms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&lt; 25.0ms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&lt; 25.0ms (SLA Compliant)</w:t>
            </w:r>
          </w:p>
        </w:tc>
      </w:tr>
      <w:tr>
        <w:tc>
          <w:tcPr>
            <w:tcW w:type="dxa" w:w="1040"/>
          </w:tcPr>
          <w:p>
            <w:r>
              <w:rPr>
                <w:b w:val="0"/>
              </w:rPr>
              <w:t>Total Evaluation Time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2,520s (~42m)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2,650s (~44m)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2,544s (~42m)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2,955s (~49m)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2,021s (~33.7m)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1,884s (~31.4m)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2,344s (~39.1m)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2,516s (~41.9m)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Performance Progression Across Complexity Tiers</w:t>
      </w:r>
    </w:p>
    <w:p>
      <w:pPr>
        <w:spacing w:after="120"/>
      </w:pPr>
      <w:r>
        <w:t>Tracking accuracy across standardized difficulty levels illustrates how intent-weighted canonical join routing and strict gating elevate reasoning while protecting Easy tier accuracy from prompt noise: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B365D"/>
          </w:tcPr>
          <w:p>
            <w:r>
              <w:rPr>
                <w:b/>
                <w:color w:val="FFFFFF"/>
              </w:rPr>
              <w:t>Difficulty Tier</w:t>
            </w:r>
          </w:p>
        </w:tc>
        <w:tc>
          <w:tcPr>
            <w:tcW w:type="dxa" w:w="1040"/>
            <w:shd w:fill="1B365D"/>
          </w:tcPr>
          <w:p>
            <w:r>
              <w:rPr>
                <w:b/>
                <w:color w:val="FFFFFF"/>
              </w:rPr>
              <w:t>Stage 1</w:t>
            </w:r>
          </w:p>
        </w:tc>
        <w:tc>
          <w:tcPr>
            <w:tcW w:type="dxa" w:w="1040"/>
            <w:shd w:fill="1B365D"/>
          </w:tcPr>
          <w:p>
            <w:r>
              <w:rPr>
                <w:b/>
                <w:color w:val="FFFFFF"/>
              </w:rPr>
              <w:t>Stage 2</w:t>
            </w:r>
          </w:p>
        </w:tc>
        <w:tc>
          <w:tcPr>
            <w:tcW w:type="dxa" w:w="1040"/>
            <w:shd w:fill="1B365D"/>
          </w:tcPr>
          <w:p>
            <w:r>
              <w:rPr>
                <w:b/>
                <w:color w:val="FFFFFF"/>
              </w:rPr>
              <w:t>Stage 3</w:t>
            </w:r>
          </w:p>
        </w:tc>
        <w:tc>
          <w:tcPr>
            <w:tcW w:type="dxa" w:w="1040"/>
            <w:shd w:fill="1B365D"/>
          </w:tcPr>
          <w:p>
            <w:r>
              <w:rPr>
                <w:b/>
                <w:color w:val="FFFFFF"/>
              </w:rPr>
              <w:t>Stage 4</w:t>
            </w:r>
          </w:p>
        </w:tc>
        <w:tc>
          <w:tcPr>
            <w:tcW w:type="dxa" w:w="1040"/>
            <w:shd w:fill="1B365D"/>
          </w:tcPr>
          <w:p>
            <w:r>
              <w:rPr>
                <w:b/>
                <w:color w:val="FFFFFF"/>
              </w:rPr>
              <w:t>Stage 4.1</w:t>
            </w:r>
          </w:p>
        </w:tc>
        <w:tc>
          <w:tcPr>
            <w:tcW w:type="dxa" w:w="1040"/>
            <w:shd w:fill="1B365D"/>
          </w:tcPr>
          <w:p>
            <w:r>
              <w:rPr>
                <w:b/>
                <w:color w:val="FFFFFF"/>
              </w:rPr>
              <w:t>Stage 5</w:t>
            </w:r>
          </w:p>
        </w:tc>
        <w:tc>
          <w:tcPr>
            <w:tcW w:type="dxa" w:w="1040"/>
            <w:shd w:fill="1B365D"/>
          </w:tcPr>
          <w:p>
            <w:r>
              <w:rPr>
                <w:b/>
                <w:color w:val="FFFFFF"/>
              </w:rPr>
              <w:t>Stage 7</w:t>
            </w:r>
          </w:p>
        </w:tc>
        <w:tc>
          <w:tcPr>
            <w:tcW w:type="dxa" w:w="1040"/>
            <w:shd w:fill="1B365D"/>
          </w:tcPr>
          <w:p>
            <w:r>
              <w:rPr>
                <w:b/>
                <w:color w:val="FFFFFF"/>
              </w:rPr>
              <w:t>Stage 8A (SOTA)</w:t>
            </w:r>
          </w:p>
        </w:tc>
      </w:tr>
      <w:tr>
        <w:tc>
          <w:tcPr>
            <w:tcW w:type="dxa" w:w="1040"/>
            <w:shd w:fill="F0F4F8"/>
          </w:tcPr>
          <w:p>
            <w:r>
              <w:rPr>
                <w:b w:val="0"/>
              </w:rPr>
              <w:t>Easy (N=458)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84.06% (385)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83.19% (381)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85.81% (393)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77.73% (356)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81.88% (375)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88.65% (406)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89.74% (411)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89.74% (411) [Zero Reg.]</w:t>
            </w:r>
          </w:p>
        </w:tc>
      </w:tr>
      <w:tr>
        <w:tc>
          <w:tcPr>
            <w:tcW w:type="dxa" w:w="1040"/>
          </w:tcPr>
          <w:p>
            <w:r>
              <w:rPr>
                <w:b w:val="0"/>
              </w:rPr>
              <w:t>Medium (N=332)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62.65% (208)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62.05% (206)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74.40% (247)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66.87% (222)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77.71% (258)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82.53% (274)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82.83% (275)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84.04% (279) [+4]</w:t>
            </w:r>
          </w:p>
        </w:tc>
      </w:tr>
      <w:tr>
        <w:tc>
          <w:tcPr>
            <w:tcW w:type="dxa" w:w="1040"/>
            <w:shd w:fill="F0F4F8"/>
          </w:tcPr>
          <w:p>
            <w:r>
              <w:rPr>
                <w:b w:val="0"/>
              </w:rPr>
              <w:t>Hard (N=238)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48.32% (115)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39.50% (94)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65.13% (155)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64.29% (153)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70.17% (167)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71.01% (169)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73.53% (175)</w:t>
            </w:r>
          </w:p>
        </w:tc>
        <w:tc>
          <w:tcPr>
            <w:tcW w:type="dxa" w:w="1040"/>
            <w:shd w:fill="F0F4F8"/>
          </w:tcPr>
          <w:p>
            <w:r>
              <w:rPr>
                <w:b w:val="0"/>
              </w:rPr>
              <w:t>74.79% (178) [+3]</w:t>
            </w:r>
          </w:p>
        </w:tc>
      </w:tr>
      <w:tr>
        <w:tc>
          <w:tcPr>
            <w:tcW w:type="dxa" w:w="1040"/>
          </w:tcPr>
          <w:p>
            <w:r>
              <w:rPr>
                <w:b w:val="0"/>
              </w:rPr>
              <w:t>Extra Hard (N=6)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0.00% (0)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66.67% (4)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66.67% (4)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0.00% (0)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16.67% (1)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33.33% (2)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50.00% (3)</w:t>
            </w:r>
          </w:p>
        </w:tc>
        <w:tc>
          <w:tcPr>
            <w:tcW w:type="dxa" w:w="1040"/>
          </w:tcPr>
          <w:p>
            <w:r>
              <w:rPr>
                <w:b w:val="0"/>
              </w:rPr>
              <w:t>50.00% (3) [Stable]</w:t>
            </w:r>
          </w:p>
        </w:tc>
      </w:tr>
      <w:tr>
        <w:tc>
          <w:tcPr>
            <w:tcW w:type="dxa" w:w="1040"/>
            <w:shd w:fill="E2E8F0"/>
          </w:tcPr>
          <w:p>
            <w:r>
              <w:rPr>
                <w:b/>
              </w:rPr>
              <w:t>Total (N=1,034)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68.47% (708)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66.25% (685)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77.27% (799)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70.70% (731)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77.47% (801)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82.30% (851)</w:t>
            </w:r>
          </w:p>
        </w:tc>
        <w:tc>
          <w:tcPr>
            <w:tcW w:type="dxa" w:w="1040"/>
            <w:shd w:fill="E2E8F0"/>
          </w:tcPr>
          <w:p>
            <w:r>
              <w:rPr>
                <w:b/>
              </w:rPr>
              <w:t>83.56% (864)</w:t>
            </w:r>
          </w:p>
        </w:tc>
        <w:tc>
          <w:tcPr>
            <w:tcW w:type="dxa" w:w="1040"/>
            <w:shd w:fill="D4EDDA"/>
          </w:tcPr>
          <w:p>
            <w:r>
              <w:rPr>
                <w:b/>
              </w:rPr>
              <w:t>84.24% (871) [+7 SOTA!]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4. Enterprise System Viability &amp; Multi-Tenant Deployment</w:t>
      </w:r>
    </w:p>
    <w:p>
      <w:r>
        <w:t>Beyond benchmark accuracy, Member 1's architecture is tailored specifically for high-throughput enterprise viability on massive schemas such as NemsuERPNew (100+ tables):</w:t>
        <w:br/>
        <w:br/>
        <w:t>1. Active Probing with Sub-Millisecond Overhead: By performing targeted single-record lookups against text columns, active probing runs in &lt; 0.5ms locally without querying 100 tables naively over the network.</w:t>
        <w:br/>
        <w:t>2. Strict JWT Multi-Tenant Isolation (Member 3 Alignment): In multi-tenant environments, active database probes are strictly parameterized with Tenant_ID isolation predicates, preventing cross-tenant data exposure.</w:t>
        <w:br/>
        <w:t>3. Non-Executing Compilation Safety: Member 1 strictly avoids executing candidate queries directly, preserving security middleware interception (Member 2) and row-level rewriting (Member 3).</w:t>
        <w:br/>
        <w:t>4. Downstream Chart Visualization (Member 4 Alignment): Clean, verified relational result sets feed directly into Member 4's automated Vega-Lite charting and predictive analytics pipeline.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