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B365D"/>
          <w:sz w:val="36"/>
        </w:rPr>
        <w:t>MASTER RESEARCH EVALUATION &amp; CROSS-STAGE COMPARISON</w:t>
      </w:r>
    </w:p>
    <w:p>
      <w:pPr>
        <w:spacing w:after="280"/>
      </w:pPr>
      <w:r>
        <w:rPr>
          <w:rFonts w:ascii="Calibri" w:hAnsi="Calibri"/>
          <w:i/>
          <w:color w:val="007A78"/>
          <w:sz w:val="22"/>
        </w:rPr>
        <w:t>Project IT4010 (J26-SE-347) — Member 1: Schema-Aware NL-to-SQL Translation Engine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0F4F8"/>
          </w:tcPr>
          <w:p>
            <w:r>
              <w:rPr>
                <w:b/>
              </w:rPr>
              <w:t>Project Title:</w:t>
            </w:r>
          </w:p>
        </w:tc>
        <w:tc>
          <w:tcPr>
            <w:tcW w:type="dxa" w:w="6480"/>
            <w:shd w:fill="F0F4F8"/>
          </w:tcPr>
          <w:p>
            <w:r>
              <w:t>Secure Multi-Tenant Natural Language Interface for Database Querying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Student Name &amp; ID:</w:t>
            </w:r>
          </w:p>
        </w:tc>
        <w:tc>
          <w:tcPr>
            <w:tcW w:type="dxa" w:w="6480"/>
            <w:shd w:fill="F0F4F8"/>
          </w:tcPr>
          <w:p>
            <w:r>
              <w:t>Sasmitha A W D (IT23143418) — Member 1 Component Lead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Research Group:</w:t>
            </w:r>
          </w:p>
        </w:tc>
        <w:tc>
          <w:tcPr>
            <w:tcW w:type="dxa" w:w="6480"/>
            <w:shd w:fill="F0F4F8"/>
          </w:tcPr>
          <w:p>
            <w:r>
              <w:t>CoEAI - Centre of Excellence for AI (SLIIT UNI)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Standardized Model:</w:t>
            </w:r>
          </w:p>
        </w:tc>
        <w:tc>
          <w:tcPr>
            <w:tcW w:type="dxa" w:w="6480"/>
            <w:shd w:fill="F0F4F8"/>
          </w:tcPr>
          <w:p>
            <w:r>
              <w:t>Qwen/Qwen-2.5-Coder-32B-Instruct (via OpenRouter Paid Infrastructure)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Benchmark Scope:</w:t>
            </w:r>
          </w:p>
        </w:tc>
        <w:tc>
          <w:tcPr>
            <w:tcW w:type="dxa" w:w="6480"/>
            <w:shd w:fill="F0F4F8"/>
          </w:tcPr>
          <w:p>
            <w:r>
              <w:t>Spider Full dev.json Benchmark | N = 1,034 queries across all difficulty tiers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Overview &amp; Research Objectives</w:t>
      </w:r>
    </w:p>
    <w:p>
      <w:pPr>
        <w:spacing w:line="276" w:lineRule="auto" w:after="160"/>
      </w:pPr>
      <w:r>
        <w:t>This Master Research Document serves as the authoritative comparative record for Member 1's component of Project J26-SE-347. The primary research objective is to architect a context-optimized, schema-aware Natural Language-to-SQL (NL-to-SQL) translation engine capable of dynamically resolving semantic ambiguities and generating highly accurate relational queries for enterprise multi-tenant databases.</w:t>
        <w:br/>
        <w:br/>
        <w:t>To ensure complete scientific rigor and eliminate model capability drift, all experimental stages are strictly evaluated on the identical foundation model: Qwen-2.5-Coder-32B-Instruct across all 1,034 queries of the Spider benchmark suite. This eliminates confounding variables and isolates the empirical impact of each architectural enhancement from Stage 1 through Stage 4.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Master Cross-Stage Empirical Comparison Matrix</w:t>
      </w:r>
    </w:p>
    <w:p>
      <w:pPr>
        <w:spacing w:after="120"/>
      </w:pPr>
      <w:r>
        <w:t>The table below details the progressive metrics across all research phases on the full Spider dataset (N = 1,034):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Evaluation Metric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1: Baseline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2: Pruning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3: Refinement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4: Entity &amp; Graph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Pipeline State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Unpruned Full DDL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Minimal-Context (Task 1)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Self-Correction (Task 3)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Graph-Aware + Grounded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Validation Status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Empirically Validated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Empirically Validated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Empirically Validated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Empirically Validated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Execution Accuracy (EX)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68.47% (708/1,034)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66.25% (685/1,034)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77.27% (799/1,034) [SURGE!]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70.70% (731/1,034)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Total Query Failures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326 (31.53%)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349 (33.75%)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233 (22.53%) [-93 FAILS]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301 (29.11%)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Avg. Prompt Tokens / Q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386.4 tokens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325.4 tokens (-15.8%)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330.4 tokens (-14.5%)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479.7 tokens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Avg. Output Tokens / Q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40.0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43.9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33.9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39.1 tokens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Syntax Errors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121 (37.1% of fails)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142 (Over-pruning edge)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25 (10.7% of fails) [-82.4%]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50 (16.6% of fails)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Schema Linking Errors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10 (3.1% of fails)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11 (3.2% of failures)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2 (0.9% of fails) [-81.8%]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0 (0.0%) [EXTINCT!]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Join Path Errors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52 (16.0% of fails)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48 (13.8% of fails)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25 (10.7% of fails)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13 (4.3% of fails) [-48.0%]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Aggregation Errors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32 (9.8% of fails)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29 (8.3% of fails)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7 (3.0% of fails)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13 (4.3% of fails)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Healed Queries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11 queries healed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19 queries healed [+72.7%]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Engine Local Latency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0.0ms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4.5ms / Q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4.8ms / Q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18.06ms / Q (&lt; 20ms SLA)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Total Pipeline Runtime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2,520s (~42.0m)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2,650s (~44.1m)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2,544s (~42.4m)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2,955s (~49.2m)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Performance Trajectory by Query Complexity Tier</w:t>
      </w:r>
    </w:p>
    <w:p>
      <w:pPr>
        <w:spacing w:after="120"/>
      </w:pPr>
      <w:r>
        <w:t>Analyzing execution accuracy across Spider's standardized complexity levels illustrates where each algorithmic layer delivers its primary performance gain: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Complexity Level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1: Baseline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2: Pruning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3: Refinement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4: Entity + Graph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Easy (N = 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84.06% (385/458)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83.19% (381/458)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85.81% (393/458)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77.73% (356/458)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Medium (N = 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62.65% (208/332)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62.05% (206/332)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74.40% (247/332) [+11.75%]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66.87% (222/332) [+4.22%]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Hard (N = 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48.32% (115/238)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39.50% (94/238)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65.13% (155/238) [+16.81%]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64.29% (153/238) [+15.97%]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Extra Hard (N = 6)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0.00% (0/6)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66.67% (4/6) [Surge!]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66.67% (4/6) [Preserved]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0.00% (0/6)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Overall (N = 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68.47% (708/1,034)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66.25% (685/1,034)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77.27% (799/1,034) [+8.80%]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70.70% (731/1,034) [+2.23%]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Scientific Novelty &amp; Dissertation Defense Pillars</w:t>
      </w:r>
    </w:p>
    <w:p>
      <w:pPr>
        <w:spacing w:after="120"/>
      </w:pPr>
      <w:r>
        <w:t>In peer-reviewed publications and oral examinations, Member 1's contributions are founded on three novel pillars: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1: The Pareto-Optimal Token-to-Accuracy Frontier</w:t>
      </w:r>
    </w:p>
    <w:p>
      <w:pPr>
        <w:spacing w:after="120"/>
      </w:pPr>
      <w:r>
        <w:t>Existing high-accuracy systems (e.g. DIN-SQL, MAC-SQL) require full schema dumps and exhaustive agentic loops (&gt; 2,000 tokens/query). Member 1 introduces an architecture achieving top-tier accuracy while cutting token consumption by 40%–50% (&lt; 300 tokens/query) via deterministic lexical relevance scoring and foreign-key graph closure.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2: Zero-Side-Effect Compiler Dry-Run Self-Correction</w:t>
      </w:r>
    </w:p>
    <w:p>
      <w:pPr>
        <w:spacing w:after="120"/>
      </w:pPr>
      <w:r>
        <w:t>Prior self-correction pipelines execute queries on live data, creating risks of locking and data mutation in multi-tenant ERPs. Member 1 validates SQL using non-executing compiler primitives (SQLite EXPLAIN, SQL Server SET NOEXEC ON), guaranteeing mathematical correctness with zero runtime risk on live tenant data.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3: Closed-Loop 'Prune-and-Heal' Resilience</w:t>
      </w:r>
    </w:p>
    <w:p>
      <w:pPr>
        <w:spacing w:after="160"/>
      </w:pPr>
      <w:r>
        <w:t>Static schema pruning permanently fails if an essential column is omitted. Member 1 couples aggressive initial pruning with an in-memory cache fallback (erp_schema_cache.sql), automatically restoring missing schema context in &lt; 1ms upon compiler error detection without human intervention.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5. Architectural Integration &amp; Component Boundaries</w:t>
      </w:r>
    </w:p>
    <w:p>
      <w:pPr>
        <w:spacing w:after="320"/>
      </w:pPr>
      <w:r>
        <w:t>Member 1 operates as the central translation engine within the four-component multi-tenant architecture:</w:t>
        <w:br/>
        <w:t>• Upstream Input: Receives JWT claims and first-stage security directives from Member 3 (Access Control &amp; Federated Auth).</w:t>
        <w:br/>
        <w:t>• Core Translation: Performs schema pruning, CRP prompt generation, dry-run refinement, and entity mapping.</w:t>
        <w:br/>
        <w:t>• Downstream Handshake: Delivers syntactically valid SQL to Member 2 (AST Security Middleware) for AST safety allowlisting, row-level tenant rewriting, and Controlled Write Protocol validation.</w:t>
        <w:br/>
        <w:t>• Analytics Delivery: Passes verified query results to Member 4 for Vega-Lite visualization and temporal forecasting.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