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36"/>
        </w:rPr>
        <w:t>STAGE 1 BASELINE BENCHMARK EVALUATION REPORT</w:t>
      </w:r>
    </w:p>
    <w:p>
      <w:pPr>
        <w:spacing w:after="280"/>
      </w:pPr>
      <w:r>
        <w:rPr>
          <w:rFonts w:ascii="Calibri" w:hAnsi="Calibri"/>
          <w:i/>
          <w:color w:val="007A78"/>
          <w:sz w:val="22"/>
        </w:rPr>
        <w:t>Project IT4010 (J26-SE-347) — Member 1: Schema-Aware NL-to-SQL Translation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0F4F8"/>
          </w:tcPr>
          <w:p>
            <w:r>
              <w:rPr>
                <w:b/>
              </w:rPr>
              <w:t>Project Title:</w:t>
            </w:r>
          </w:p>
        </w:tc>
        <w:tc>
          <w:tcPr>
            <w:tcW w:type="dxa" w:w="6480"/>
            <w:shd w:fill="F0F4F8"/>
          </w:tcPr>
          <w:p>
            <w:r>
              <w:t>Secure Multi-Tenant Natural Language Interface for Database Querying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b/>
              </w:rPr>
              <w:t>Student Name &amp; ID:</w:t>
            </w:r>
          </w:p>
        </w:tc>
        <w:tc>
          <w:tcPr>
            <w:tcW w:type="dxa" w:w="6480"/>
            <w:shd w:fill="F0F4F8"/>
          </w:tcPr>
          <w:p>
            <w:r>
              <w:t>Sasmitha A W D (IT23143418) — Member 1 Component Lead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b/>
              </w:rPr>
              <w:t>Research Group:</w:t>
            </w:r>
          </w:p>
        </w:tc>
        <w:tc>
          <w:tcPr>
            <w:tcW w:type="dxa" w:w="6480"/>
            <w:shd w:fill="F0F4F8"/>
          </w:tcPr>
          <w:p>
            <w:r>
              <w:t>CoEAI - Centre of Excellence for AI (SLIIT UNI)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b/>
              </w:rPr>
              <w:t>Evaluated Model:</w:t>
            </w:r>
          </w:p>
        </w:tc>
        <w:tc>
          <w:tcPr>
            <w:tcW w:type="dxa" w:w="6480"/>
            <w:shd w:fill="F0F4F8"/>
          </w:tcPr>
          <w:p>
            <w:r>
              <w:t>Qwen/Qwen-2.5-Coder-32B-Instruct (via OpenRouter Paid Tier)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b/>
              </w:rPr>
              <w:t>Benchmark Scope:</w:t>
            </w:r>
          </w:p>
        </w:tc>
        <w:tc>
          <w:tcPr>
            <w:tcW w:type="dxa" w:w="6480"/>
            <w:shd w:fill="F0F4F8"/>
          </w:tcPr>
          <w:p>
            <w:r>
              <w:t>Spider Full dev.json Benchmark | N = 1,034 queries across all difficulty tiers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Executive Summary</w:t>
      </w:r>
    </w:p>
    <w:p>
      <w:pPr>
        <w:spacing w:line="276" w:lineRule="auto" w:after="160"/>
      </w:pPr>
      <w:r>
        <w:t>This research report documents the formal empirical baseline evaluation for Stage 1 (Naive Baseline) of Member 1's research component. In this phase, the Natural Language-to-SQL translation engine operates without schema pruning or autonomous self-correction, directly prompting the foundation model with the unpruned database schema (DDL) within a Code Representation Prompt (CRP).</w:t>
        <w:br/>
        <w:br/>
        <w:t>The full Spider benchmark suite (N = 1,034 cross-domain queries) was evaluated using Alibaba Cloud's Qwen-2.5-Coder-32B-Instruct model. The engine achieved an Execution Accuracy (EX) of 68.47% (708/1,034 correct), consuming an average of 426.3 tokens per query. This benchmark establishes a rigorous, reproducible control reference for evaluating subsequent architectural enhancements in Stage 2 (Minimal-Context Schema Pruning) and Stage 3 (Automated Query Refinement Loop).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1B365D"/>
          </w:tcPr>
          <w:p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type="dxa" w:w="5328"/>
            <w:shd w:fill="1B365D"/>
          </w:tcPr>
          <w:p>
            <w:r>
              <w:rPr>
                <w:b/>
                <w:color w:val="FFFFFF"/>
              </w:rPr>
              <w:t>Empirical Baseline Value</w:t>
            </w:r>
          </w:p>
        </w:tc>
      </w:tr>
      <w:tr>
        <w:tc>
          <w:tcPr>
            <w:tcW w:type="dxa" w:w="4032"/>
            <w:shd w:fill="F0F4F8"/>
          </w:tcPr>
          <w:p>
            <w:r>
              <w:rPr>
                <w:b w:val="0"/>
              </w:rPr>
              <w:t>Total Queries Evaluated</w:t>
            </w:r>
          </w:p>
        </w:tc>
        <w:tc>
          <w:tcPr>
            <w:tcW w:type="dxa" w:w="5328"/>
            <w:shd w:fill="F0F4F8"/>
          </w:tcPr>
          <w:p>
            <w:r>
              <w:rPr>
                <w:b w:val="0"/>
              </w:rPr>
              <w:t>1,034 queries (100% of Spider dev set)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</w:rPr>
              <w:t>Successful Query Matches (EX)</w:t>
            </w:r>
          </w:p>
        </w:tc>
        <w:tc>
          <w:tcPr>
            <w:tcW w:type="dxa" w:w="5328"/>
          </w:tcPr>
          <w:p>
            <w:r>
              <w:rPr>
                <w:b w:val="0"/>
              </w:rPr>
              <w:t>708 / 1,034 (68.47% Execution Accuracy)</w:t>
            </w:r>
          </w:p>
        </w:tc>
      </w:tr>
      <w:tr>
        <w:tc>
          <w:tcPr>
            <w:tcW w:type="dxa" w:w="4032"/>
            <w:shd w:fill="F0F4F8"/>
          </w:tcPr>
          <w:p>
            <w:r>
              <w:rPr>
                <w:b w:val="0"/>
              </w:rPr>
              <w:t>Total Pipeline Failures</w:t>
            </w:r>
          </w:p>
        </w:tc>
        <w:tc>
          <w:tcPr>
            <w:tcW w:type="dxa" w:w="5328"/>
            <w:shd w:fill="F0F4F8"/>
          </w:tcPr>
          <w:p>
            <w:r>
              <w:rPr>
                <w:b w:val="0"/>
              </w:rPr>
              <w:t>326 / 1,034 (31.53%)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</w:rPr>
              <w:t>Average Tokens per Query</w:t>
            </w:r>
          </w:p>
        </w:tc>
        <w:tc>
          <w:tcPr>
            <w:tcW w:type="dxa" w:w="5328"/>
          </w:tcPr>
          <w:p>
            <w:r>
              <w:rPr>
                <w:b w:val="0"/>
              </w:rPr>
              <w:t>426.3 total (386.4 in / 40.0 out)</w:t>
            </w:r>
          </w:p>
        </w:tc>
      </w:tr>
      <w:tr>
        <w:tc>
          <w:tcPr>
            <w:tcW w:type="dxa" w:w="4032"/>
            <w:shd w:fill="F0F4F8"/>
          </w:tcPr>
          <w:p>
            <w:r>
              <w:rPr>
                <w:b w:val="0"/>
              </w:rPr>
              <w:t>Total Benchmark Runtime</w:t>
            </w:r>
          </w:p>
        </w:tc>
        <w:tc>
          <w:tcPr>
            <w:tcW w:type="dxa" w:w="5328"/>
            <w:shd w:fill="F0F4F8"/>
          </w:tcPr>
          <w:p>
            <w:r>
              <w:rPr>
                <w:b w:val="0"/>
              </w:rPr>
              <w:t>2,520.52 seconds (~42.0 minutes)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Performance Breakdown by Query Complexity</w:t>
      </w:r>
    </w:p>
    <w:p>
      <w:pPr>
        <w:spacing w:after="120"/>
      </w:pPr>
      <w:r>
        <w:t>The Spider benchmark stratifies queries into four standardized complexity tiers based on SQL clauses, aggregations, and join counts. The Stage 1 baseline exhibits a distinct accuracy decay curve as query complexity increases: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Complexity Tier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Available Queries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Correct (Match)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Execution Accuracy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Key Failure Pattern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Easy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458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84.06%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High competence on single-table selections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332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208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62.65%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Dialect confusion on 1-2 table joins &amp; GROUP BY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b w:val="0"/>
              </w:rPr>
              <w:t>Hard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238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115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48.32%</w:t>
            </w:r>
          </w:p>
        </w:tc>
        <w:tc>
          <w:tcPr>
            <w:tcW w:type="dxa" w:w="1872"/>
            <w:shd w:fill="F0F4F8"/>
          </w:tcPr>
          <w:p>
            <w:r>
              <w:rPr>
                <w:b w:val="0"/>
              </w:rPr>
              <w:t>Syntax &amp; join path errors on 3+ table joins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Extra Hard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0.00%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Subquery nesting &amp; compound set operation failures</w:t>
            </w:r>
          </w:p>
        </w:tc>
      </w:tr>
      <w:tr>
        <w:tc>
          <w:tcPr>
            <w:tcW w:type="dxa" w:w="1872"/>
            <w:shd w:fill="E2E8F0"/>
          </w:tcPr>
          <w:p>
            <w:r>
              <w:rPr>
                <w:b/>
              </w:rPr>
              <w:t>Total / Overall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1,034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708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68.47%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Primary Stage 1 Scientific Control Baseline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Failure Taxonomy &amp; Root Cause Analysis</w:t>
      </w:r>
    </w:p>
    <w:p>
      <w:pPr>
        <w:spacing w:after="120"/>
      </w:pPr>
      <w:r>
        <w:t>All 326 pipeline failures were captured and classified using the project's standardized failure taxonomy. This categorization directly identifies the engineering requirements for subsequent stages: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Failure Category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% of Failures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Targeted Resolution Stage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RESULT_MISMATCH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175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53.68%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Task 4 (Entity Resolution &amp; Semantic Disambiguation)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SYNTAX_ERROR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121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37.12%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Task 3 (Automated Query Refinement Loop)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JOIN_ERROR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4.60%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Task 4 (Relational Dependency Graph Closure)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SCHEMA_LINKING_ERROR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3.07%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Task 1 (Minimal-Context Schema Extractor)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AGGREGATION_ERROR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1.53%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Task 2 (Context-Aware Prompt Engineering)</w:t>
            </w:r>
          </w:p>
        </w:tc>
      </w:tr>
    </w:tbl>
    <w:p>
      <w:pPr>
        <w:spacing w:before="160" w:line="276" w:lineRule="auto"/>
      </w:pPr>
      <w:r>
        <w:t>Key Research Insight on SYNTAX_ERROR:</w:t>
        <w:br/>
        <w:t>The 121 syntax errors (representing 37.12% of all failures) were primarily caused by dialect friction (e.g. generating T-SQL bracket escaping or pagination clauses that failed in the SQLite environment) and near-miss identifier quoting. Because these errors produce deterministic database compiler messages, they represent the primary recovery target for Stage 3's Automated Query Refinement Loop.</w:t>
        <w:br/>
        <w:br/>
        <w:t>Key Research Insight on SCHEMA_LINKING_ERROR:</w:t>
        <w:br/>
        <w:t>Exposing the LLM to full, unpruned schemas forced the attention mechanism to navigate distractor tables, causing column hallucinations on large schemas. This validates the premise of Stage 2's Minimal-Context Schema Extractor.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Computational Efficiency &amp; Latency Profile</w:t>
      </w:r>
    </w:p>
    <w:p>
      <w:pPr>
        <w:spacing w:after="120"/>
      </w:pPr>
      <w:r>
        <w:t>Cycle profiling reveals that remote LLM API inference constitutes 78.9% of total pipeline runtime (1,988.6s), while local database connection, schema extraction, and query execution combined account for less than 1% of time.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5. Research Progression Hypothesis for Stages 2 &amp; 3</w:t>
      </w:r>
    </w:p>
    <w:p>
      <w:r>
        <w:t>With the Stage 1 baseline established at 68.47%, the research hypothesis projects measurable accuracy gains across phases: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Research Stage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Primary Architectural Novelty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Target Failure Eliminated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Projected Accuracy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Stage 1 (Current)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Naive Baseline (Unpruned Schema CRP)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None (Scientific Control)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68.47% (Empirical)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Stage 2 (Task 1)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Minimal-Context Schema Extractor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Distractor tables &amp; Token bloat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71.0% - 74.0%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Stage 3 (Task 3)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Compiler Dry-Run Self-Correction Loop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121 SYNTAX_ERROR queries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77.0% - 82.0%</w:t>
            </w:r>
          </w:p>
        </w:tc>
      </w:tr>
    </w:tbl>
    <w:p>
      <w:pPr>
        <w:spacing w:after="3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