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0"/>
          <w:szCs w:val="40"/>
        </w:rPr>
        <w:t xml:space="preserve">GALXY — Module 5: AI Preview Generation</w:t>
      </w:r>
    </w:p>
    <w:p>
      <w:pPr>
        <w:spacing w:after="40"/>
      </w:pPr>
      <w:r>
        <w:rPr>
          <w:color w:val="6B7280"/>
          <w:sz w:val="24"/>
          <w:szCs w:val="24"/>
        </w:rPr>
        <w:t xml:space="preserve">Intern Submission Review, v3 — module-5-ai-preview-generation-feat-m5-frontend1 (2nd resubmission)</w:t>
      </w:r>
    </w:p>
    <w:p>
      <w:pPr>
        <w:spacing w:after="300"/>
      </w:pPr>
      <w:r>
        <w:rPr>
          <w:i/>
          <w:iCs/>
          <w:color w:val="6B7280"/>
          <w:sz w:val="20"/>
          <w:szCs w:val="20"/>
        </w:rPr>
        <w:t xml:space="preserve">Reviewed against: Galxy_Module5_AI_Preview_Generation.docx, M5_Workflow_Updated.docx, M5_FRONTEND1_AIPreviewPanel.docx  ·  Review date: July 2026</w:t>
      </w:r>
    </w:p>
    <w:p>
      <w:pPr>
        <w:pStyle w:val="Heading1"/>
        <w:spacing w:after="160" w:before="360"/>
      </w:pPr>
      <w:r>
        <w:t xml:space="preserve">1. Bottom 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2"/>
              <w:left w:val="single" w:color="15803D" w:sz="24"/>
              <w:bottom w:val="single" w:color="E5E7EB" w:sz="2"/>
              <w:right w:val="single" w:color="E5E7EB" w:sz="2"/>
            </w:tcBorders>
            <w:shd w:fill="F9FAFB" w:val="clear"/>
            <w:tcMar>
              <w:top w:type="dxa" w:w="160"/>
              <w:left w:type="dxa" w:w="220"/>
              <w:bottom w:type="dxa" w:w="160"/>
              <w:right w:type="dxa" w:w="220"/>
            </w:tcMar>
          </w:tcPr>
          <w:p>
            <w:pPr>
              <w:spacing w:after="80"/>
            </w:pPr>
            <w:r>
              <w:rPr>
                <w:b/>
                <w:bCs/>
                <w:color w:val="15803D"/>
              </w:rPr>
              <w:t xml:space="preserve">Completion vs. the AIPreviewPanel brief: ~97%</w:t>
            </w:r>
          </w:p>
          <w:p>
            <w:pPr>
              <w:spacing w:after="60"/>
            </w:pPr>
            <w:r>
              <w:rPr>
                <w:sz w:val="21"/>
                <w:szCs w:val="21"/>
              </w:rPr>
              <w:t xml:space="preserve">Both open items from the v2 review are genuinely fixed, not just patched over: the demo (index.html/app.js/index.css/serve.ps1) was moved into its own /demo folder, and the project root now has a real Vite entry point (index.html with #root plus a module script to src/main.jsx) — so npm run dev now actually mounts the production AIPreviewPanel component, exactly as the README claims. The generic spinner element is gone from the loading state, and generation_id is now surfaced as a small badge in both the React component and the demo, ready for the AIGenerationHistory handoff.</w:t>
            </w:r>
          </w:p>
          <w:p>
            <w:pPr>
              <w:spacing w:after="60"/>
            </w:pPr>
            <w:r>
              <w:rPr>
                <w:sz w:val="21"/>
                <w:szCs w:val="21"/>
              </w:rPr>
              <w:t xml:space="preserve">One new, small, but real bug slipped in during the demo relocation: demo/index.html now contains a JSX-style comment — {/* Generic spinner element removed to adhere to the spec */} — sitting where the removed spinner element used to be. That syntax only works inside JSX; in plain HTML it is not a comment at all, so a browser will render that text visibly inside the loading state. It's a one-line fix (swap to an HTML comment or delete the line), but worth catching before this goes further.</w:t>
            </w:r>
          </w:p>
        </w:tc>
      </w:tr>
    </w:tbl>
    <w:p>
      <w:pPr>
        <w:spacing w:after="160"/>
      </w:pPr>
    </w:p>
    <w:p>
      <w:pPr>
        <w:pStyle w:val="Heading1"/>
        <w:spacing w:after="160" w:before="360"/>
      </w:pPr>
      <w:r>
        <w:t xml:space="preserve">2. What Got Fixed From the v2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2200"/>
      </w:tblGrid>
      <w:tr>
        <w:trPr>
          <w:tblHeader/>
        </w:trPr>
        <w:tc>
          <w:tcPr>
            <w:tcW w:type="dxa" w:w="500"/>
            <w:shd w:fill="15803D" w:val="clear"/>
            <w:tcMar>
              <w:top w:type="dxa" w:w="80"/>
              <w:left w:type="dxa" w:w="100"/>
              <w:bottom w:type="dxa" w:w="80"/>
              <w:right w:type="dxa" w:w="100"/>
            </w:tcMar>
          </w:tcPr>
          <w:p>
            <w:pPr>
              <w:jc w:val="left"/>
            </w:pPr>
            <w:r>
              <w:rPr>
                <w:b/>
                <w:bCs/>
                <w:color w:val="FFFFFF"/>
                <w:sz w:val="20"/>
                <w:szCs w:val="20"/>
              </w:rPr>
              <w:t xml:space="preserve">#</w:t>
            </w:r>
          </w:p>
        </w:tc>
        <w:tc>
          <w:tcPr>
            <w:tcW w:type="dxa" w:w="6900"/>
            <w:shd w:fill="15803D" w:val="clear"/>
            <w:tcMar>
              <w:top w:type="dxa" w:w="80"/>
              <w:left w:type="dxa" w:w="100"/>
              <w:bottom w:type="dxa" w:w="80"/>
              <w:right w:type="dxa" w:w="100"/>
            </w:tcMar>
          </w:tcPr>
          <w:p>
            <w:pPr>
              <w:jc w:val="left"/>
            </w:pPr>
            <w:r>
              <w:rPr>
                <w:b/>
                <w:bCs/>
                <w:color w:val="FFFFFF"/>
                <w:sz w:val="20"/>
                <w:szCs w:val="20"/>
              </w:rPr>
              <w:t xml:space="preserve">What was fixed since the last review</w:t>
            </w:r>
          </w:p>
        </w:tc>
        <w:tc>
          <w:tcPr>
            <w:tcW w:type="dxa" w:w="2200"/>
            <w:shd w:fill="15803D" w:val="clear"/>
            <w:tcMar>
              <w:top w:type="dxa" w:w="80"/>
              <w:left w:type="dxa" w:w="100"/>
              <w:bottom w:type="dxa" w:w="80"/>
              <w:right w:type="dxa" w:w="100"/>
            </w:tcMar>
          </w:tcPr>
          <w:p>
            <w:pPr>
              <w:jc w:val="left"/>
            </w:pPr>
            <w:r>
              <w:rPr>
                <w:b/>
                <w:bCs/>
                <w:color w:val="FFFFFF"/>
                <w:sz w:val="20"/>
                <w:szCs w:val="20"/>
              </w:rPr>
              <w:t xml:space="preserve">Where</w:t>
            </w:r>
          </w:p>
        </w:tc>
      </w:tr>
      <w:tr>
        <w:trPr>
          <w:tblHeader w:val="false"/>
        </w:trPr>
        <w:tc>
          <w:tcPr>
            <w:tcW w:type="dxa" w:w="500"/>
            <w:shd w:fill="FFFFFF"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6900"/>
            <w:shd w:fill="FFFFFF" w:val="clear"/>
            <w:tcMar>
              <w:top w:type="dxa" w:w="80"/>
              <w:left w:type="dxa" w:w="100"/>
              <w:bottom w:type="dxa" w:w="80"/>
              <w:right w:type="dxa" w:w="100"/>
            </w:tcMar>
          </w:tcPr>
          <w:p>
            <w:pPr>
              <w:jc w:val="left"/>
            </w:pPr>
            <w:r>
              <w:rPr>
                <w:b w:val="false"/>
                <w:bCs w:val="false"/>
                <w:color w:val="000000"/>
                <w:sz w:val="19"/>
                <w:szCs w:val="19"/>
              </w:rPr>
              <w:t xml:space="preserve">Vite entry-point conflict resolved: the standalone demo (index.html, app.js, index.css, serve.ps1) was moved to /demo/, asset paths inside it updated to ../assets/..., and the project root now has a proper Vite index.html (#root div + module script to src/main.jsx). npm run dev genuinely mounts App.jsx -&gt; AIPreviewPanel now.</w:t>
            </w:r>
          </w:p>
        </w:tc>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index.html (root) / demo/*</w:t>
            </w:r>
          </w:p>
        </w:tc>
      </w:tr>
      <w:tr>
        <w:trPr>
          <w:tblHeader w:val="false"/>
        </w:trPr>
        <w:tc>
          <w:tcPr>
            <w:tcW w:type="dxa" w:w="500"/>
            <w:shd w:fill="F3F4F6"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6900"/>
            <w:shd w:fill="F3F4F6" w:val="clear"/>
            <w:tcMar>
              <w:top w:type="dxa" w:w="80"/>
              <w:left w:type="dxa" w:w="100"/>
              <w:bottom w:type="dxa" w:w="80"/>
              <w:right w:type="dxa" w:w="100"/>
            </w:tcMar>
          </w:tcPr>
          <w:p>
            <w:pPr>
              <w:jc w:val="left"/>
            </w:pPr>
            <w:r>
              <w:rPr>
                <w:b w:val="false"/>
                <w:bCs w:val="false"/>
                <w:color w:val="000000"/>
                <w:sz w:val="19"/>
                <w:szCs w:val="19"/>
              </w:rPr>
              <w:t xml:space="preserve">Removed the leftover circular .spinner-pulse element from the React component's loading state, so the loading UI is unambiguously the glow scan-line / gradient pulse the spec calls for.</w:t>
            </w:r>
          </w:p>
        </w:tc>
        <w:tc>
          <w:tcPr>
            <w:tcW w:type="dxa" w:w="2200"/>
            <w:shd w:fill="F3F4F6" w:val="clear"/>
            <w:tcMar>
              <w:top w:type="dxa" w:w="80"/>
              <w:left w:type="dxa" w:w="100"/>
              <w:bottom w:type="dxa" w:w="80"/>
              <w:right w:type="dxa" w:w="100"/>
            </w:tcMar>
          </w:tcPr>
          <w:p>
            <w:pPr>
              <w:jc w:val="left"/>
            </w:pPr>
            <w:r>
              <w:rPr>
                <w:b w:val="false"/>
                <w:bCs w:val="false"/>
                <w:color w:val="000000"/>
                <w:sz w:val="19"/>
                <w:szCs w:val="19"/>
              </w:rPr>
              <w:t xml:space="preserve">AIPreviewPanel.jsx</w:t>
            </w:r>
          </w:p>
        </w:tc>
      </w:tr>
      <w:tr>
        <w:trPr>
          <w:tblHeader w:val="false"/>
        </w:trPr>
        <w:tc>
          <w:tcPr>
            <w:tcW w:type="dxa" w:w="500"/>
            <w:shd w:fill="FFFFFF"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6900"/>
            <w:shd w:fill="FFFFFF" w:val="clear"/>
            <w:tcMar>
              <w:top w:type="dxa" w:w="80"/>
              <w:left w:type="dxa" w:w="100"/>
              <w:bottom w:type="dxa" w:w="80"/>
              <w:right w:type="dxa" w:w="100"/>
            </w:tcMar>
          </w:tcPr>
          <w:p>
            <w:pPr>
              <w:jc w:val="left"/>
            </w:pPr>
            <w:r>
              <w:rPr>
                <w:b w:val="false"/>
                <w:bCs w:val="false"/>
                <w:color w:val="000000"/>
                <w:sz w:val="19"/>
                <w:szCs w:val="19"/>
              </w:rPr>
              <w:t xml:space="preserve">generation_id is now surfaced as a small monospace badge next to the cache indicator in both the React component and the demo, giving the team something concrete to confirm the field name against ahead of the AIGenerationHistory handoff.</w:t>
            </w:r>
          </w:p>
        </w:tc>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AIPreviewPanel.jsx / AIPreviewPanel.css / demo/app.js / demo/index.html</w:t>
            </w:r>
          </w:p>
        </w:tc>
      </w:tr>
      <w:tr>
        <w:trPr>
          <w:tblHeader w:val="false"/>
        </w:trPr>
        <w:tc>
          <w:tcPr>
            <w:tcW w:type="dxa" w:w="500"/>
            <w:shd w:fill="F3F4F6"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6900"/>
            <w:shd w:fill="F3F4F6" w:val="clear"/>
            <w:tcMar>
              <w:top w:type="dxa" w:w="80"/>
              <w:left w:type="dxa" w:w="100"/>
              <w:bottom w:type="dxa" w:w="80"/>
              <w:right w:type="dxa" w:w="100"/>
            </w:tcMar>
          </w:tcPr>
          <w:p>
            <w:pPr>
              <w:jc w:val="left"/>
            </w:pPr>
            <w:r>
              <w:rPr>
                <w:b w:val="false"/>
                <w:bCs w:val="false"/>
                <w:color w:val="000000"/>
                <w:sz w:val="19"/>
                <w:szCs w:val="19"/>
              </w:rPr>
              <w:t xml:space="preserve">README now explicitly notes that client-side sanitization is a UX layer, not a substitute for server-side sanitization in prompt_builder_service.py, closing the documentation gap flagged last round.</w:t>
            </w:r>
          </w:p>
        </w:tc>
        <w:tc>
          <w:tcPr>
            <w:tcW w:type="dxa" w:w="2200"/>
            <w:shd w:fill="F3F4F6" w:val="clear"/>
            <w:tcMar>
              <w:top w:type="dxa" w:w="80"/>
              <w:left w:type="dxa" w:w="100"/>
              <w:bottom w:type="dxa" w:w="80"/>
              <w:right w:type="dxa" w:w="100"/>
            </w:tcMar>
          </w:tcPr>
          <w:p>
            <w:pPr>
              <w:jc w:val="left"/>
            </w:pPr>
            <w:r>
              <w:rPr>
                <w:b w:val="false"/>
                <w:bCs w:val="false"/>
                <w:color w:val="000000"/>
                <w:sz w:val="19"/>
                <w:szCs w:val="19"/>
              </w:rPr>
              <w:t xml:space="preserve">README.md</w:t>
            </w:r>
          </w:p>
        </w:tc>
      </w:tr>
    </w:tbl>
    <w:p>
      <w:pPr>
        <w:spacing w:after="200"/>
      </w:pPr>
    </w:p>
    <w:p>
      <w:pPr>
        <w:pStyle w:val="Heading1"/>
        <w:spacing w:after="160" w:before="360"/>
      </w:pPr>
      <w:r>
        <w:t xml:space="preserve">3. Remaining Issues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1400"/>
        <w:gridCol w:w="2400"/>
      </w:tblGrid>
      <w:tr>
        <w:trPr>
          <w:tblHeader/>
        </w:trPr>
        <w:tc>
          <w:tcPr>
            <w:tcW w:type="dxa" w:w="500"/>
            <w:shd w:fill="1F2937" w:val="clear"/>
            <w:tcMar>
              <w:top w:type="dxa" w:w="80"/>
              <w:left w:type="dxa" w:w="100"/>
              <w:bottom w:type="dxa" w:w="80"/>
              <w:right w:type="dxa" w:w="100"/>
            </w:tcMar>
          </w:tcPr>
          <w:p>
            <w:pPr>
              <w:jc w:val="left"/>
            </w:pPr>
            <w:r>
              <w:rPr>
                <w:b/>
                <w:bCs/>
                <w:color w:val="FFFFFF"/>
                <w:sz w:val="20"/>
                <w:szCs w:val="20"/>
              </w:rPr>
              <w:t xml:space="preserve">#</w:t>
            </w:r>
          </w:p>
        </w:tc>
        <w:tc>
          <w:tcPr>
            <w:tcW w:type="dxa" w:w="5300"/>
            <w:shd w:fill="1F2937" w:val="clear"/>
            <w:tcMar>
              <w:top w:type="dxa" w:w="80"/>
              <w:left w:type="dxa" w:w="100"/>
              <w:bottom w:type="dxa" w:w="80"/>
              <w:right w:type="dxa" w:w="100"/>
            </w:tcMar>
          </w:tcPr>
          <w:p>
            <w:pPr>
              <w:jc w:val="left"/>
            </w:pPr>
            <w:r>
              <w:rPr>
                <w:b/>
                <w:bCs/>
                <w:color w:val="FFFFFF"/>
                <w:sz w:val="20"/>
                <w:szCs w:val="20"/>
              </w:rPr>
              <w:t xml:space="preserve">Finding</w:t>
            </w:r>
          </w:p>
        </w:tc>
        <w:tc>
          <w:tcPr>
            <w:tcW w:type="dxa" w:w="1400"/>
            <w:shd w:fill="1F2937" w:val="clear"/>
            <w:tcMar>
              <w:top w:type="dxa" w:w="80"/>
              <w:left w:type="dxa" w:w="100"/>
              <w:bottom w:type="dxa" w:w="80"/>
              <w:right w:type="dxa" w:w="100"/>
            </w:tcMar>
          </w:tcPr>
          <w:p>
            <w:pPr>
              <w:jc w:val="left"/>
            </w:pPr>
            <w:r>
              <w:rPr>
                <w:b/>
                <w:bCs/>
                <w:color w:val="FFFFFF"/>
                <w:sz w:val="20"/>
                <w:szCs w:val="20"/>
              </w:rPr>
              <w:t xml:space="preserve">Severity</w:t>
            </w:r>
          </w:p>
        </w:tc>
        <w:tc>
          <w:tcPr>
            <w:tcW w:type="dxa" w:w="2400"/>
            <w:shd w:fill="1F2937" w:val="clear"/>
            <w:tcMar>
              <w:top w:type="dxa" w:w="80"/>
              <w:left w:type="dxa" w:w="100"/>
              <w:bottom w:type="dxa" w:w="80"/>
              <w:right w:type="dxa" w:w="100"/>
            </w:tcMar>
          </w:tcPr>
          <w:p>
            <w:pPr>
              <w:jc w:val="left"/>
            </w:pPr>
            <w:r>
              <w:rPr>
                <w:b/>
                <w:bCs/>
                <w:color w:val="FFFFFF"/>
                <w:sz w:val="20"/>
                <w:szCs w:val="20"/>
              </w:rPr>
              <w:t xml:space="preserve">Where</w:t>
            </w:r>
          </w:p>
        </w:tc>
      </w:tr>
      <w:tr>
        <w:trPr>
          <w:tblHeader w:val="false"/>
        </w:trPr>
        <w:tc>
          <w:tcPr>
            <w:tcW w:type="dxa" w:w="500"/>
            <w:shd w:fill="FFFFFF"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demo/index.html contains {/* Generic spinner element removed to adhere to the spec */} where the old spinner div used to be. This is JSX comment syntax pasted into plain HTML - browsers do not treat {/* ... */} as a comment, so this text will render visibly in the loading state of the standalone demo. Replace with an HTML comment (&lt;!-- ... --&gt;) or delete the line.</w:t>
            </w:r>
          </w:p>
        </w:tc>
        <w:tc>
          <w:tcPr>
            <w:tcW w:type="dxa" w:w="1400"/>
            <w:shd w:fill="FFFFFF" w:val="clear"/>
            <w:tcMar>
              <w:top w:type="dxa" w:w="80"/>
              <w:left w:type="dxa" w:w="100"/>
              <w:bottom w:type="dxa" w:w="80"/>
              <w:right w:type="dxa" w:w="100"/>
            </w:tcMar>
          </w:tcPr>
          <w:p>
            <w:pPr>
              <w:jc w:val="left"/>
            </w:pPr>
            <w:r>
              <w:rPr>
                <w:b w:val="false"/>
                <w:bCs w:val="false"/>
                <w:color w:val="000000"/>
                <w:sz w:val="19"/>
                <w:szCs w:val="19"/>
              </w:rPr>
              <w:t xml:space="preserve">Bug (regression)</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demo/index.html line ~64</w:t>
            </w:r>
          </w:p>
        </w:tc>
      </w:tr>
      <w:tr>
        <w:trPr>
          <w:tblHeader w:val="false"/>
        </w:trPr>
        <w:tc>
          <w:tcPr>
            <w:tcW w:type="dxa" w:w="500"/>
            <w:shd w:fill="F3F4F6"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5300"/>
            <w:shd w:fill="F3F4F6" w:val="clear"/>
            <w:tcMar>
              <w:top w:type="dxa" w:w="80"/>
              <w:left w:type="dxa" w:w="100"/>
              <w:bottom w:type="dxa" w:w="80"/>
              <w:right w:type="dxa" w:w="100"/>
            </w:tcMar>
          </w:tcPr>
          <w:p>
            <w:pPr>
              <w:jc w:val="left"/>
            </w:pPr>
            <w:r>
              <w:rPr>
                <w:b w:val="false"/>
                <w:bCs w:val="false"/>
                <w:color w:val="000000"/>
                <w:sz w:val="19"/>
                <w:szCs w:val="19"/>
              </w:rPr>
              <w:t xml:space="preserve">The now-unused .spinner-pulse CSS rule is still defined in AIPreviewPanel.css even though the element was removed from the JSX. Harmless, but dead code worth deleting in a cleanup pass.</w:t>
            </w:r>
          </w:p>
        </w:tc>
        <w:tc>
          <w:tcPr>
            <w:tcW w:type="dxa" w:w="1400"/>
            <w:shd w:fill="F3F4F6" w:val="clear"/>
            <w:tcMar>
              <w:top w:type="dxa" w:w="80"/>
              <w:left w:type="dxa" w:w="100"/>
              <w:bottom w:type="dxa" w:w="80"/>
              <w:right w:type="dxa" w:w="100"/>
            </w:tcMar>
          </w:tcPr>
          <w:p>
            <w:pPr>
              <w:jc w:val="left"/>
            </w:pPr>
            <w:r>
              <w:rPr>
                <w:b w:val="false"/>
                <w:bCs w:val="false"/>
                <w:color w:val="000000"/>
                <w:sz w:val="19"/>
                <w:szCs w:val="19"/>
              </w:rPr>
              <w:t xml:space="preserve">Nit</w:t>
            </w:r>
          </w:p>
        </w:tc>
        <w:tc>
          <w:tcPr>
            <w:tcW w:type="dxa" w:w="2400"/>
            <w:shd w:fill="F3F4F6" w:val="clear"/>
            <w:tcMar>
              <w:top w:type="dxa" w:w="80"/>
              <w:left w:type="dxa" w:w="100"/>
              <w:bottom w:type="dxa" w:w="80"/>
              <w:right w:type="dxa" w:w="100"/>
            </w:tcMar>
          </w:tcPr>
          <w:p>
            <w:pPr>
              <w:jc w:val="left"/>
            </w:pPr>
            <w:r>
              <w:rPr>
                <w:b w:val="false"/>
                <w:bCs w:val="false"/>
                <w:color w:val="000000"/>
                <w:sz w:val="19"/>
                <w:szCs w:val="19"/>
              </w:rPr>
              <w:t xml:space="preserve">AIPreviewPanel.css</w:t>
            </w:r>
          </w:p>
        </w:tc>
      </w:tr>
      <w:tr>
        <w:trPr>
          <w:tblHeader w:val="false"/>
        </w:trPr>
        <w:tc>
          <w:tcPr>
            <w:tcW w:type="dxa" w:w="500"/>
            <w:shd w:fill="FFFFFF"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Still not verified with a real npm install and npm run build in this review environment (no network access in this sandbox). The Vite config and import graph look correct on inspection, but a real build pass, and a screenshot or short clip of it running, would close this out with certainty.</w:t>
            </w:r>
          </w:p>
        </w:tc>
        <w:tc>
          <w:tcPr>
            <w:tcW w:type="dxa" w:w="1400"/>
            <w:shd w:fill="FFFFFF" w:val="clear"/>
            <w:tcMar>
              <w:top w:type="dxa" w:w="80"/>
              <w:left w:type="dxa" w:w="100"/>
              <w:bottom w:type="dxa" w:w="80"/>
              <w:right w:type="dxa" w:w="100"/>
            </w:tcMar>
          </w:tcPr>
          <w:p>
            <w:pPr>
              <w:jc w:val="left"/>
            </w:pPr>
            <w:r>
              <w:rPr>
                <w:b w:val="false"/>
                <w:bCs w:val="false"/>
                <w:color w:val="000000"/>
                <w:sz w:val="19"/>
                <w:szCs w:val="19"/>
              </w:rPr>
              <w:t xml:space="preserve">Verification gap</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package.json</w:t>
            </w:r>
          </w:p>
        </w:tc>
      </w:tr>
    </w:tbl>
    <w:p>
      <w:pPr>
        <w:spacing w:after="200"/>
      </w:pPr>
    </w:p>
    <w:p>
      <w:pPr>
        <w:pStyle w:val="Heading1"/>
        <w:spacing w:after="160" w:before="360"/>
      </w:pPr>
      <w:r>
        <w:t xml:space="preserve">4. Recommended Next Steps</w:t>
      </w:r>
    </w:p>
    <w:p>
      <w:pPr>
        <w:pStyle w:val="ListParagraph"/>
        <w:numPr>
          <w:ilvl w:val="0"/>
          <w:numId w:val="2"/>
        </w:numPr>
        <w:spacing w:after="80"/>
      </w:pPr>
      <w:r>
        <w:t xml:space="preserve">Fix the {/* ... */} artifact in demo/index.html - swap to an HTML comment or delete it. This is the only thing standing between this submission and a clean pass.</w:t>
      </w:r>
    </w:p>
    <w:p>
      <w:pPr>
        <w:pStyle w:val="ListParagraph"/>
        <w:numPr>
          <w:ilvl w:val="0"/>
          <w:numId w:val="2"/>
        </w:numPr>
        <w:spacing w:after="80"/>
      </w:pPr>
      <w:r>
        <w:t xml:space="preserve">Optional cleanup: remove the dead .spinner-pulse CSS rule.</w:t>
      </w:r>
    </w:p>
    <w:p>
      <w:pPr>
        <w:pStyle w:val="ListParagraph"/>
        <w:numPr>
          <w:ilvl w:val="0"/>
          <w:numId w:val="2"/>
        </w:numPr>
        <w:spacing w:after="80"/>
      </w:pPr>
      <w:r>
        <w:t xml:space="preserve">Once you have network access, run npm install &amp;&amp; npm run build once and attach the output (or a screenshot of the running app) to the PR so the build is verified outside static review.</w:t>
      </w:r>
    </w:p>
    <w:p>
      <w:pPr>
        <w:pStyle w:val="ListParagraph"/>
        <w:numPr>
          <w:ilvl w:val="0"/>
          <w:numId w:val="2"/>
        </w:numPr>
        <w:spacing w:after="80"/>
      </w:pPr>
      <w:r>
        <w:t xml:space="preserve">No other functional gaps found against the AIPreviewPanel brief (M5_FRONTEND1_AIPreviewPanel.docx) - tab toggle, auto-switch on affects_ai_preview change, loading/success/error/stale states, rate-limit copy by scope, 400 handling, sanitization, and the schema-driven cache/rate-limit ordering are all present and correct.</w:t>
      </w:r>
    </w:p>
    <w:p>
      <w:pPr>
        <w:pStyle w:val="Heading1"/>
        <w:spacing w:after="160" w:before="360"/>
      </w:pPr>
      <w:r>
        <w:t xml:space="preserve">5. Suggested Score</w:t>
      </w:r>
    </w:p>
    <w:p>
      <w:pPr>
        <w:spacing w:after="140"/>
      </w:pPr>
      <w:r>
        <w:rPr>
          <w:sz w:val="22"/>
          <w:szCs w:val="22"/>
        </w:rPr>
        <w:t xml:space="preserve">Scored against the AIPreviewPanel brief: 9.5 / 10. This is a thorough, professional response to two rounds of feedback - every previously flagged issue was fixed at the root cause rather than papered over (moving files, not just renaming; reading schema fields, not hard-coding strings). The one point off is for the stray JSX-comment artifact in the demo HTML, which is a quick fix, plus the standing note that the build hasn't been verified end-to-end outside static review.</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2026-07-04T14:17:59.677Z</dcterms:created>
  <dcterms:modified xsi:type="dcterms:W3CDTF">2026-07-04T14:17:59.703Z</dcterms:modified>
</cp:coreProperties>
</file>

<file path=docProps/custom.xml><?xml version="1.0" encoding="utf-8"?>
<Properties xmlns="http://schemas.openxmlformats.org/officeDocument/2006/custom-properties" xmlns:vt="http://schemas.openxmlformats.org/officeDocument/2006/docPropsVTypes"/>
</file>