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7F8C8D"/>
          <w:sz w:val="26"/>
        </w:rPr>
        <w:t>GALXY Custom Lighting &amp; Craft Studio</w:t>
      </w:r>
    </w:p>
    <w:p>
      <w:pPr>
        <w:spacing w:after="360"/>
      </w:pPr>
      <w:r>
        <w:rPr>
          <w:b/>
          <w:color w:val="2C3E50"/>
          <w:sz w:val="36"/>
        </w:rPr>
        <w:t>Updated Code Compliance &amp; Testing Readiness Report</w:t>
        <w:br/>
        <w:t>Module 5 — AI Preview Generation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E0E0E0"/>
          <w:bottom w:val="single" w:sz="4" w:space="0" w:color="E0E0E0"/>
          <w:left w:val="none"/>
          <w:right w:val="none"/>
          <w:insideH w:val="single" w:sz="4" w:space="0" w:color="E0E0E0"/>
          <w:insideV w:val="none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Prepared For: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Engineering Management / Antigravity IDE Workspace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Target Component: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Module 5: AI Provider Integration, Prompt Templating, Caching &amp; Rate Limiting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Current Build Score: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94% Complete (Significant Improvement — Admin &amp; Compliance added)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Evaluation Date: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July 2026</w:t>
            </w:r>
          </w:p>
        </w:tc>
      </w:tr>
    </w:tbl>
    <w:p>
      <w:pPr>
        <w:spacing w:after="240"/>
      </w:pPr>
    </w:p>
    <w:p>
      <w:pPr>
        <w:keepNext/>
        <w:spacing w:before="320" w:after="120"/>
      </w:pPr>
      <w:r>
        <w:rPr>
          <w:b/>
          <w:color w:val="2C3E50"/>
          <w:sz w:val="28"/>
        </w:rPr>
        <w:t>1. Build Re-Evaluation Overview</w:t>
      </w:r>
    </w:p>
    <w:p>
      <w:r>
        <w:t>Following the implementation of the core architectural checklist, a structural and functional re-evaluation was performed on the updated codebase. The intern has successfully implemented the missing 'app/routes/admin_ai_routes.py' file to support the GET /api/admin/ai/generations endpoint, bringing the administrative tracking framework to operational status. Additionally, the explicit inclusion of a dedicated 'tests/test_compliance.py' file ensures validation checks are programmatic rather than manual. As a result, the code compliance score has been raised from 82% to 94%.</w:t>
      </w:r>
    </w:p>
    <w:p>
      <w:pPr>
        <w:keepNext/>
        <w:spacing w:before="320" w:after="120"/>
      </w:pPr>
      <w:r>
        <w:rPr>
          <w:b/>
          <w:color w:val="2C3E50"/>
          <w:sz w:val="28"/>
        </w:rPr>
        <w:t>2. Score Breakdown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none"/>
          <w:right w:val="none"/>
          <w:insideH w:val="single" w:sz="4" w:space="0" w:color="CCCCCC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34495E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Category</w:t>
            </w:r>
          </w:p>
        </w:tc>
        <w:tc>
          <w:tcPr>
            <w:tcW w:type="dxa" w:w="3120"/>
            <w:shd w:fill="34495E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Score</w:t>
            </w:r>
          </w:p>
        </w:tc>
        <w:tc>
          <w:tcPr>
            <w:tcW w:type="dxa" w:w="3120"/>
            <w:shd w:fill="34495E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Status Notes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Structural Integrity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25 / 25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Complete file paths and blueprints as required by architectural guidelines.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Testing Infrastructure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20 / 20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Excellent addition of unit tests and programmatic compliance check suites.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Feature Completeness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28 / 30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Administrative endpoints are in place; final delivery depends on runtime verification.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Edge-Case Safety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21 / 25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Compliance scripts are established, shifting focus to run-time logical strictness.</w:t>
            </w:r>
          </w:p>
        </w:tc>
      </w:tr>
    </w:tbl>
    <w:p>
      <w:pPr>
        <w:keepNext/>
        <w:spacing w:before="320" w:after="120"/>
      </w:pPr>
      <w:r>
        <w:rPr>
          <w:b/>
          <w:color w:val="2C3E50"/>
          <w:sz w:val="28"/>
        </w:rPr>
        <w:t>3. Core Runtime &amp; Verification Strategy for Upcoming Phase</w:t>
      </w:r>
    </w:p>
    <w:p>
      <w:r>
        <w:t>As the build transitions into active runtime verification inside the Antigravity IDE workspace, tests must be executed against the following logical boundaries to ensure 100% compliance:</w:t>
      </w:r>
    </w:p>
    <w:p>
      <w:pPr>
        <w:keepNext/>
        <w:spacing w:before="240" w:after="80"/>
      </w:pPr>
      <w:r>
        <w:rPr>
          <w:b/>
          <w:color w:val="34495E"/>
          <w:sz w:val="24"/>
        </w:rPr>
        <w:t>3.1 The Caching Isolation Leak Test</w:t>
      </w:r>
    </w:p>
    <w:p>
      <w:r>
        <w:t>• Objective: Trigger two identical preview generation requests with perfectly matching selected attributes, but introduce different strings in the custom_text field (e.g., Request A: 'Naveen', Request B: 'Kumar').</w:t>
        <w:br/>
        <w:t>• Expected Behavior: The system must completely bypass the cache on the second request and trigger a brand-new downstream provider generation. If Request B returns a cached asset, the user text-isolation rule is broken and customer data will cross-pollinate.</w:t>
      </w:r>
    </w:p>
    <w:p>
      <w:pPr>
        <w:keepNext/>
        <w:spacing w:before="240" w:after="80"/>
      </w:pPr>
      <w:r>
        <w:rPr>
          <w:b/>
          <w:color w:val="34495E"/>
          <w:sz w:val="24"/>
        </w:rPr>
        <w:t>3.2 Deterministic Key Sequence Test</w:t>
      </w:r>
    </w:p>
    <w:p>
      <w:r>
        <w:t>• Objective: Submit a configuration payload where selected_attributes are sent in a specific order, followed by an identical configuration with inverted payload keys (e.g., {'font': 'cursive', 'chain': 'gold'} vs. {'chain': 'gold', 'font': 'cursive'}).</w:t>
        <w:br/>
        <w:t>• Expected Behavior: The second request must return a cache hit (from_cache: true). Failure to return a hit indicates that the cache-key generation mechanism is not sorting keys alphabetically before creating hashes.</w:t>
      </w:r>
    </w:p>
    <w:p>
      <w:pPr>
        <w:keepNext/>
        <w:spacing w:before="240" w:after="80"/>
      </w:pPr>
      <w:r>
        <w:rPr>
          <w:b/>
          <w:color w:val="34495E"/>
          <w:sz w:val="24"/>
        </w:rPr>
        <w:t>3.3 Error Payload Compliance Test</w:t>
      </w:r>
    </w:p>
    <w:p>
      <w:r>
        <w:t>• Objective: Simulate a guest user exceeding the AI_FREE_GENERATIONS_PER_SESSION threshold to deliberately throw an HTTP 429 Rate Limit error.</w:t>
        <w:br/>
        <w:t>• Expected Behavior: The JSON payload returned from the endpoint must exactly provide the structure containing "data": { "limit_reached": true } to match frontend modal upsell hooks.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