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GALXY — Module 1 (Auth)</w:t>
      </w:r>
    </w:p>
    <w:p>
      <w:pPr>
        <w:pStyle w:val="Heading2"/>
        <w:spacing w:after="60"/>
      </w:pPr>
      <w:r>
        <w:rPr>
          <w:b/>
          <w:bCs/>
          <w:color w:val="555555"/>
        </w:rPr>
        <w:t xml:space="preserve">Code Review — In1 (Dilip Velayutham)</w:t>
      </w:r>
    </w:p>
    <w:p>
      <w:pPr>
        <w:spacing w:after="120"/>
      </w:pPr>
      <w:r>
        <w:rPr>
          <w:i/>
          <w:iCs/>
          <w:color w:val="777777"/>
          <w:sz w:val="20"/>
          <w:szCs w:val="20"/>
        </w:rPr>
        <w:t xml:space="preserve">Reviewed against: Galxy Project Plan · Galxy Module 1 (Auth) Spec · In1 (Dilip) Execution Plan</w:t>
      </w:r>
    </w:p>
    <w:p>
      <w:pPr>
        <w:spacing w:after="120"/>
      </w:pPr>
      <w:r>
        <w:rPr>
          <w:i/>
          <w:iCs/>
          <w:color w:val="777777"/>
          <w:sz w:val="20"/>
          <w:szCs w:val="20"/>
        </w:rPr>
        <w:t xml:space="preserve">Submission reviewed: galxy-module-1-auth-in1-dilip.zip</w:t>
      </w:r>
    </w:p>
    <w:p>
      <w:pPr>
        <w:pStyle w:val="Heading1"/>
        <w:spacing w:after="160" w:before="360"/>
      </w:pPr>
      <w:r>
        <w:rPr>
          <w:b/>
          <w:bCs/>
        </w:rPr>
        <w:t xml:space="preserve">Overall Completion: 67%</w:t>
      </w:r>
    </w:p>
    <w:p>
      <w:pPr>
        <w:spacing w:after="120"/>
      </w:pPr>
      <w:r>
        <w:t xml:space="preserve">The core authentication engine (JWT lifecycle, middleware, signup/login/logout/refresh, frontend session layer) is genuinely well-built and closely tracks the frozen specification. However, a significant portion of In1's defined scope — architecture documentation, cross-module contract publication, security validation reporting, and handoff readiness — is not present as a deliverable. Since In1's role is explicitly framed around governance and integration leadership (not just code), this gap materially affects the completion score.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500"/>
        <w:gridCol w:w="1800"/>
        <w:gridCol w:w="1500"/>
      </w:tblGrid>
      <w:tr>
        <w:tc>
          <w:tcPr>
            <w:tcW w:type="dxa" w:w="6500"/>
            <w:shd w:fill="1F2937" w:val="clear"/>
            <w:tcMar>
              <w:top w:type="dxa" w:w="80"/>
              <w:left w:type="dxa" w:w="120"/>
              <w:bottom w:type="dxa" w:w="80"/>
              <w:right w:type="dxa" w:w="120"/>
            </w:tcMar>
          </w:tcPr>
          <w:p>
            <w:r>
              <w:rPr>
                <w:b/>
                <w:bCs/>
                <w:color w:val="FFFFFF"/>
                <w:sz w:val="20"/>
                <w:szCs w:val="20"/>
              </w:rPr>
              <w:t xml:space="preserve">Category</w:t>
            </w:r>
          </w:p>
        </w:tc>
        <w:tc>
          <w:tcPr>
            <w:tcW w:type="dxa" w:w="1800"/>
            <w:shd w:fill="1F2937" w:val="clear"/>
            <w:tcMar>
              <w:top w:type="dxa" w:w="80"/>
              <w:left w:type="dxa" w:w="120"/>
              <w:bottom w:type="dxa" w:w="80"/>
              <w:right w:type="dxa" w:w="120"/>
            </w:tcMar>
          </w:tcPr>
          <w:p>
            <w:r>
              <w:rPr>
                <w:b/>
                <w:bCs/>
                <w:color w:val="FFFFFF"/>
                <w:sz w:val="20"/>
                <w:szCs w:val="20"/>
              </w:rPr>
              <w:t xml:space="preserve">Score</w:t>
            </w:r>
          </w:p>
        </w:tc>
        <w:tc>
          <w:tcPr>
            <w:tcW w:type="dxa" w:w="1500"/>
            <w:shd w:fill="1F2937" w:val="clear"/>
            <w:tcMar>
              <w:top w:type="dxa" w:w="80"/>
              <w:left w:type="dxa" w:w="120"/>
              <w:bottom w:type="dxa" w:w="80"/>
              <w:right w:type="dxa" w:w="120"/>
            </w:tcMar>
          </w:tcPr>
          <w:p>
            <w:r>
              <w:rPr>
                <w:b/>
                <w:bCs/>
                <w:color w:val="FFFFFF"/>
                <w:sz w:val="20"/>
                <w:szCs w:val="20"/>
              </w:rPr>
              <w:t xml:space="preserve">Weight</w:t>
            </w:r>
          </w:p>
        </w:tc>
      </w:tr>
      <w:tr>
        <w:tc>
          <w:tcPr>
            <w:tcW w:type="dxa" w:w="6500"/>
            <w:tcMar>
              <w:top w:type="dxa" w:w="80"/>
              <w:left w:type="dxa" w:w="120"/>
              <w:bottom w:type="dxa" w:w="80"/>
              <w:right w:type="dxa" w:w="120"/>
            </w:tcMar>
          </w:tcPr>
          <w:p>
            <w:r>
              <w:rPr>
                <w:b w:val="false"/>
                <w:bCs w:val="false"/>
                <w:sz w:val="20"/>
                <w:szCs w:val="20"/>
              </w:rPr>
              <w:t xml:space="preserve">Backend architecture &amp; repo structure</w:t>
            </w:r>
          </w:p>
        </w:tc>
        <w:tc>
          <w:tcPr>
            <w:tcW w:type="dxa" w:w="1800"/>
            <w:tcMar>
              <w:top w:type="dxa" w:w="80"/>
              <w:left w:type="dxa" w:w="120"/>
              <w:bottom w:type="dxa" w:w="80"/>
              <w:right w:type="dxa" w:w="120"/>
            </w:tcMar>
          </w:tcPr>
          <w:p>
            <w:r>
              <w:rPr>
                <w:b w:val="false"/>
                <w:bCs w:val="false"/>
                <w:sz w:val="20"/>
                <w:szCs w:val="20"/>
              </w:rPr>
              <w:t xml:space="preserve">15 / 20</w:t>
            </w:r>
          </w:p>
        </w:tc>
        <w:tc>
          <w:tcPr>
            <w:tcW w:type="dxa" w:w="1500"/>
            <w:tcMar>
              <w:top w:type="dxa" w:w="80"/>
              <w:left w:type="dxa" w:w="120"/>
              <w:bottom w:type="dxa" w:w="80"/>
              <w:right w:type="dxa" w:w="120"/>
            </w:tcMar>
          </w:tcPr>
          <w:p>
            <w:r>
              <w:rPr>
                <w:b w:val="false"/>
                <w:bCs w:val="false"/>
                <w:sz w:val="20"/>
                <w:szCs w:val="20"/>
              </w:rPr>
              <w:t xml:space="preserve"/>
            </w:r>
          </w:p>
        </w:tc>
      </w:tr>
      <w:tr>
        <w:tc>
          <w:tcPr>
            <w:tcW w:type="dxa" w:w="6500"/>
            <w:shd w:fill="F7F7F7" w:val="clear"/>
            <w:tcMar>
              <w:top w:type="dxa" w:w="80"/>
              <w:left w:type="dxa" w:w="120"/>
              <w:bottom w:type="dxa" w:w="80"/>
              <w:right w:type="dxa" w:w="120"/>
            </w:tcMar>
          </w:tcPr>
          <w:p>
            <w:r>
              <w:rPr>
                <w:b w:val="false"/>
                <w:bCs w:val="false"/>
                <w:sz w:val="20"/>
                <w:szCs w:val="20"/>
              </w:rPr>
              <w:t xml:space="preserve">JWT / Token lifecycle</w:t>
            </w:r>
          </w:p>
        </w:tc>
        <w:tc>
          <w:tcPr>
            <w:tcW w:type="dxa" w:w="1800"/>
            <w:shd w:fill="F7F7F7" w:val="clear"/>
            <w:tcMar>
              <w:top w:type="dxa" w:w="80"/>
              <w:left w:type="dxa" w:w="120"/>
              <w:bottom w:type="dxa" w:w="80"/>
              <w:right w:type="dxa" w:w="120"/>
            </w:tcMar>
          </w:tcPr>
          <w:p>
            <w:r>
              <w:rPr>
                <w:b w:val="false"/>
                <w:bCs w:val="false"/>
                <w:sz w:val="20"/>
                <w:szCs w:val="20"/>
              </w:rPr>
              <w:t xml:space="preserve">16 / 18</w:t>
            </w:r>
          </w:p>
        </w:tc>
        <w:tc>
          <w:tcPr>
            <w:tcW w:type="dxa" w:w="1500"/>
            <w:shd w:fill="F7F7F7" w:val="clear"/>
            <w:tcMar>
              <w:top w:type="dxa" w:w="80"/>
              <w:left w:type="dxa" w:w="120"/>
              <w:bottom w:type="dxa" w:w="80"/>
              <w:right w:type="dxa" w:w="120"/>
            </w:tcMar>
          </w:tcPr>
          <w:p>
            <w:r>
              <w:rPr>
                <w:b w:val="false"/>
                <w:bCs w:val="false"/>
                <w:sz w:val="20"/>
                <w:szCs w:val="20"/>
              </w:rPr>
              <w:t xml:space="preserve"/>
            </w:r>
          </w:p>
        </w:tc>
      </w:tr>
      <w:tr>
        <w:tc>
          <w:tcPr>
            <w:tcW w:type="dxa" w:w="6500"/>
            <w:tcMar>
              <w:top w:type="dxa" w:w="80"/>
              <w:left w:type="dxa" w:w="120"/>
              <w:bottom w:type="dxa" w:w="80"/>
              <w:right w:type="dxa" w:w="120"/>
            </w:tcMar>
          </w:tcPr>
          <w:p>
            <w:r>
              <w:rPr>
                <w:b w:val="false"/>
                <w:bCs w:val="false"/>
                <w:sz w:val="20"/>
                <w:szCs w:val="20"/>
              </w:rPr>
              <w:t xml:space="preserve">Auth middleware (require_auth / require_admin / optional_auth)</w:t>
            </w:r>
          </w:p>
        </w:tc>
        <w:tc>
          <w:tcPr>
            <w:tcW w:type="dxa" w:w="1800"/>
            <w:tcMar>
              <w:top w:type="dxa" w:w="80"/>
              <w:left w:type="dxa" w:w="120"/>
              <w:bottom w:type="dxa" w:w="80"/>
              <w:right w:type="dxa" w:w="120"/>
            </w:tcMar>
          </w:tcPr>
          <w:p>
            <w:r>
              <w:rPr>
                <w:b w:val="false"/>
                <w:bCs w:val="false"/>
                <w:sz w:val="20"/>
                <w:szCs w:val="20"/>
              </w:rPr>
              <w:t xml:space="preserve">10 / 10</w:t>
            </w:r>
          </w:p>
        </w:tc>
        <w:tc>
          <w:tcPr>
            <w:tcW w:type="dxa" w:w="1500"/>
            <w:tcMar>
              <w:top w:type="dxa" w:w="80"/>
              <w:left w:type="dxa" w:w="120"/>
              <w:bottom w:type="dxa" w:w="80"/>
              <w:right w:type="dxa" w:w="120"/>
            </w:tcMar>
          </w:tcPr>
          <w:p>
            <w:r>
              <w:rPr>
                <w:b w:val="false"/>
                <w:bCs w:val="false"/>
                <w:sz w:val="20"/>
                <w:szCs w:val="20"/>
              </w:rPr>
              <w:t xml:space="preserve"/>
            </w:r>
          </w:p>
        </w:tc>
      </w:tr>
      <w:tr>
        <w:tc>
          <w:tcPr>
            <w:tcW w:type="dxa" w:w="6500"/>
            <w:shd w:fill="F7F7F7" w:val="clear"/>
            <w:tcMar>
              <w:top w:type="dxa" w:w="80"/>
              <w:left w:type="dxa" w:w="120"/>
              <w:bottom w:type="dxa" w:w="80"/>
              <w:right w:type="dxa" w:w="120"/>
            </w:tcMar>
          </w:tcPr>
          <w:p>
            <w:r>
              <w:rPr>
                <w:b w:val="false"/>
                <w:bCs w:val="false"/>
                <w:sz w:val="20"/>
                <w:szCs w:val="20"/>
              </w:rPr>
              <w:t xml:space="preserve">API endpoints &amp; response contract</w:t>
            </w:r>
          </w:p>
        </w:tc>
        <w:tc>
          <w:tcPr>
            <w:tcW w:type="dxa" w:w="1800"/>
            <w:shd w:fill="F7F7F7" w:val="clear"/>
            <w:tcMar>
              <w:top w:type="dxa" w:w="80"/>
              <w:left w:type="dxa" w:w="120"/>
              <w:bottom w:type="dxa" w:w="80"/>
              <w:right w:type="dxa" w:w="120"/>
            </w:tcMar>
          </w:tcPr>
          <w:p>
            <w:r>
              <w:rPr>
                <w:b w:val="false"/>
                <w:bCs w:val="false"/>
                <w:sz w:val="20"/>
                <w:szCs w:val="20"/>
              </w:rPr>
              <w:t xml:space="preserve">14 / 18</w:t>
            </w:r>
          </w:p>
        </w:tc>
        <w:tc>
          <w:tcPr>
            <w:tcW w:type="dxa" w:w="1500"/>
            <w:shd w:fill="F7F7F7" w:val="clear"/>
            <w:tcMar>
              <w:top w:type="dxa" w:w="80"/>
              <w:left w:type="dxa" w:w="120"/>
              <w:bottom w:type="dxa" w:w="80"/>
              <w:right w:type="dxa" w:w="120"/>
            </w:tcMar>
          </w:tcPr>
          <w:p>
            <w:r>
              <w:rPr>
                <w:b w:val="false"/>
                <w:bCs w:val="false"/>
                <w:sz w:val="20"/>
                <w:szCs w:val="20"/>
              </w:rPr>
              <w:t xml:space="preserve"/>
            </w:r>
          </w:p>
        </w:tc>
      </w:tr>
      <w:tr>
        <w:tc>
          <w:tcPr>
            <w:tcW w:type="dxa" w:w="6500"/>
            <w:tcMar>
              <w:top w:type="dxa" w:w="80"/>
              <w:left w:type="dxa" w:w="120"/>
              <w:bottom w:type="dxa" w:w="80"/>
              <w:right w:type="dxa" w:w="120"/>
            </w:tcMar>
          </w:tcPr>
          <w:p>
            <w:r>
              <w:rPr>
                <w:b w:val="false"/>
                <w:bCs w:val="false"/>
                <w:sz w:val="20"/>
                <w:szCs w:val="20"/>
              </w:rPr>
              <w:t xml:space="preserve">Security</w:t>
            </w:r>
          </w:p>
        </w:tc>
        <w:tc>
          <w:tcPr>
            <w:tcW w:type="dxa" w:w="1800"/>
            <w:tcMar>
              <w:top w:type="dxa" w:w="80"/>
              <w:left w:type="dxa" w:w="120"/>
              <w:bottom w:type="dxa" w:w="80"/>
              <w:right w:type="dxa" w:w="120"/>
            </w:tcMar>
          </w:tcPr>
          <w:p>
            <w:r>
              <w:rPr>
                <w:b w:val="false"/>
                <w:bCs w:val="false"/>
                <w:sz w:val="20"/>
                <w:szCs w:val="20"/>
              </w:rPr>
              <w:t xml:space="preserve">11 / 18</w:t>
            </w:r>
          </w:p>
        </w:tc>
        <w:tc>
          <w:tcPr>
            <w:tcW w:type="dxa" w:w="1500"/>
            <w:tcMar>
              <w:top w:type="dxa" w:w="80"/>
              <w:left w:type="dxa" w:w="120"/>
              <w:bottom w:type="dxa" w:w="80"/>
              <w:right w:type="dxa" w:w="120"/>
            </w:tcMar>
          </w:tcPr>
          <w:p>
            <w:r>
              <w:rPr>
                <w:b w:val="false"/>
                <w:bCs w:val="false"/>
                <w:sz w:val="20"/>
                <w:szCs w:val="20"/>
              </w:rPr>
              <w:t xml:space="preserve"/>
            </w:r>
          </w:p>
        </w:tc>
      </w:tr>
      <w:tr>
        <w:tc>
          <w:tcPr>
            <w:tcW w:type="dxa" w:w="6500"/>
            <w:shd w:fill="F7F7F7" w:val="clear"/>
            <w:tcMar>
              <w:top w:type="dxa" w:w="80"/>
              <w:left w:type="dxa" w:w="120"/>
              <w:bottom w:type="dxa" w:w="80"/>
              <w:right w:type="dxa" w:w="120"/>
            </w:tcMar>
          </w:tcPr>
          <w:p>
            <w:r>
              <w:rPr>
                <w:b w:val="false"/>
                <w:bCs w:val="false"/>
                <w:sz w:val="20"/>
                <w:szCs w:val="20"/>
              </w:rPr>
              <w:t xml:space="preserve">Frontend (AuthContext / AuthGuard / AuthForm / pages)</w:t>
            </w:r>
          </w:p>
        </w:tc>
        <w:tc>
          <w:tcPr>
            <w:tcW w:type="dxa" w:w="1800"/>
            <w:shd w:fill="F7F7F7" w:val="clear"/>
            <w:tcMar>
              <w:top w:type="dxa" w:w="80"/>
              <w:left w:type="dxa" w:w="120"/>
              <w:bottom w:type="dxa" w:w="80"/>
              <w:right w:type="dxa" w:w="120"/>
            </w:tcMar>
          </w:tcPr>
          <w:p>
            <w:r>
              <w:rPr>
                <w:b w:val="false"/>
                <w:bCs w:val="false"/>
                <w:sz w:val="20"/>
                <w:szCs w:val="20"/>
              </w:rPr>
              <w:t xml:space="preserve">16 / 18</w:t>
            </w:r>
          </w:p>
        </w:tc>
        <w:tc>
          <w:tcPr>
            <w:tcW w:type="dxa" w:w="1500"/>
            <w:shd w:fill="F7F7F7" w:val="clear"/>
            <w:tcMar>
              <w:top w:type="dxa" w:w="80"/>
              <w:left w:type="dxa" w:w="120"/>
              <w:bottom w:type="dxa" w:w="80"/>
              <w:right w:type="dxa" w:w="120"/>
            </w:tcMar>
          </w:tcPr>
          <w:p>
            <w:r>
              <w:rPr>
                <w:b w:val="false"/>
                <w:bCs w:val="false"/>
                <w:sz w:val="20"/>
                <w:szCs w:val="20"/>
              </w:rPr>
              <w:t xml:space="preserve"/>
            </w:r>
          </w:p>
        </w:tc>
      </w:tr>
      <w:tr>
        <w:tc>
          <w:tcPr>
            <w:tcW w:type="dxa" w:w="6500"/>
            <w:tcMar>
              <w:top w:type="dxa" w:w="80"/>
              <w:left w:type="dxa" w:w="120"/>
              <w:bottom w:type="dxa" w:w="80"/>
              <w:right w:type="dxa" w:w="120"/>
            </w:tcMar>
          </w:tcPr>
          <w:p>
            <w:r>
              <w:rPr>
                <w:b w:val="false"/>
                <w:bCs w:val="false"/>
                <w:sz w:val="20"/>
                <w:szCs w:val="20"/>
              </w:rPr>
              <w:t xml:space="preserve">Documentation &amp; governance deliverables</w:t>
            </w:r>
          </w:p>
        </w:tc>
        <w:tc>
          <w:tcPr>
            <w:tcW w:type="dxa" w:w="1800"/>
            <w:tcMar>
              <w:top w:type="dxa" w:w="80"/>
              <w:left w:type="dxa" w:w="120"/>
              <w:bottom w:type="dxa" w:w="80"/>
              <w:right w:type="dxa" w:w="120"/>
            </w:tcMar>
          </w:tcPr>
          <w:p>
            <w:r>
              <w:rPr>
                <w:b w:val="false"/>
                <w:bCs w:val="false"/>
                <w:sz w:val="20"/>
                <w:szCs w:val="20"/>
              </w:rPr>
              <w:t xml:space="preserve">2 / 20</w:t>
            </w:r>
          </w:p>
        </w:tc>
        <w:tc>
          <w:tcPr>
            <w:tcW w:type="dxa" w:w="1500"/>
            <w:tcMar>
              <w:top w:type="dxa" w:w="80"/>
              <w:left w:type="dxa" w:w="120"/>
              <w:bottom w:type="dxa" w:w="80"/>
              <w:right w:type="dxa" w:w="120"/>
            </w:tcMar>
          </w:tcPr>
          <w:p>
            <w:r>
              <w:rPr>
                <w:b w:val="false"/>
                <w:bCs w:val="false"/>
                <w:sz w:val="20"/>
                <w:szCs w:val="20"/>
              </w:rPr>
              <w:t xml:space="preserve"/>
            </w:r>
          </w:p>
        </w:tc>
      </w:tr>
      <w:tr>
        <w:tc>
          <w:tcPr>
            <w:tcW w:type="dxa" w:w="6500"/>
            <w:shd w:fill="F7F7F7" w:val="clear"/>
            <w:tcMar>
              <w:top w:type="dxa" w:w="80"/>
              <w:left w:type="dxa" w:w="120"/>
              <w:bottom w:type="dxa" w:w="80"/>
              <w:right w:type="dxa" w:w="120"/>
            </w:tcMar>
          </w:tcPr>
          <w:p>
            <w:r>
              <w:rPr>
                <w:b w:val="false"/>
                <w:bCs w:val="false"/>
                <w:sz w:val="20"/>
                <w:szCs w:val="20"/>
              </w:rPr>
              <w:t xml:space="preserve">Testing</w:t>
            </w:r>
          </w:p>
        </w:tc>
        <w:tc>
          <w:tcPr>
            <w:tcW w:type="dxa" w:w="1800"/>
            <w:shd w:fill="F7F7F7" w:val="clear"/>
            <w:tcMar>
              <w:top w:type="dxa" w:w="80"/>
              <w:left w:type="dxa" w:w="120"/>
              <w:bottom w:type="dxa" w:w="80"/>
              <w:right w:type="dxa" w:w="120"/>
            </w:tcMar>
          </w:tcPr>
          <w:p>
            <w:r>
              <w:rPr>
                <w:b w:val="false"/>
                <w:bCs w:val="false"/>
                <w:sz w:val="20"/>
                <w:szCs w:val="20"/>
              </w:rPr>
              <w:t xml:space="preserve">7 / 8</w:t>
            </w:r>
          </w:p>
        </w:tc>
        <w:tc>
          <w:tcPr>
            <w:tcW w:type="dxa" w:w="1500"/>
            <w:shd w:fill="F7F7F7" w:val="clear"/>
            <w:tcMar>
              <w:top w:type="dxa" w:w="80"/>
              <w:left w:type="dxa" w:w="120"/>
              <w:bottom w:type="dxa" w:w="80"/>
              <w:right w:type="dxa" w:w="120"/>
            </w:tcMar>
          </w:tcPr>
          <w:p>
            <w:r>
              <w:rPr>
                <w:b w:val="false"/>
                <w:bCs w:val="false"/>
                <w:sz w:val="20"/>
                <w:szCs w:val="20"/>
              </w:rPr>
              <w:t xml:space="preserve"/>
            </w:r>
          </w:p>
        </w:tc>
      </w:tr>
    </w:tbl>
    <w:p>
      <w:pPr>
        <w:pStyle w:val="Heading1"/>
        <w:spacing w:after="160" w:before="360"/>
      </w:pPr>
      <w:r>
        <w:rPr>
          <w:b/>
          <w:bCs/>
        </w:rPr>
        <w:t xml:space="preserve">1. What Is Genuinely Correct</w:t>
      </w:r>
    </w:p>
    <w:p>
      <w:pPr>
        <w:pStyle w:val="ListParagraph"/>
        <w:numPr>
          <w:ilvl w:val="0"/>
          <w:numId w:val="1"/>
        </w:numPr>
        <w:spacing w:after="60"/>
      </w:pPr>
      <w:r>
        <w:t xml:space="preserve">Token payload matches the frozen schema exactly: { sub, role, exp }.</w:t>
      </w:r>
    </w:p>
    <w:p>
      <w:pPr>
        <w:pStyle w:val="ListParagraph"/>
        <w:numPr>
          <w:ilvl w:val="0"/>
          <w:numId w:val="1"/>
        </w:numPr>
        <w:spacing w:after="60"/>
      </w:pPr>
      <w:r>
        <w:t xml:space="preserve">All three decorators — @require_auth, @require_admin, @optional_auth — implemented exactly to spec, attaching request.user / request.admin, with verified role isolation (own test confirms a customer token gets 403 on admin routes and vice versa).</w:t>
      </w:r>
    </w:p>
    <w:p>
      <w:pPr>
        <w:pStyle w:val="ListParagraph"/>
        <w:numPr>
          <w:ilvl w:val="0"/>
          <w:numId w:val="1"/>
        </w:numPr>
        <w:spacing w:after="60"/>
      </w:pPr>
      <w:r>
        <w:t xml:space="preserve">bcrypt cost factor 12; rate limiting (5 attempts / 15 min per IP+email) on both customer and admin login; CORS restricted via ALLOWED_ORIGINS with no wildcard.</w:t>
      </w:r>
    </w:p>
    <w:p>
      <w:pPr>
        <w:pStyle w:val="ListParagraph"/>
        <w:numPr>
          <w:ilvl w:val="0"/>
          <w:numId w:val="1"/>
        </w:numPr>
        <w:spacing w:after="60"/>
      </w:pPr>
      <w:r>
        <w:t xml:space="preserve">Signup / login / logout / refresh work end-to-end with correct status codes (201 / 200 / 401 / 403 / 409); refresh token rotation implemented (beyond minimum spec).</w:t>
      </w:r>
    </w:p>
    <w:p>
      <w:pPr>
        <w:pStyle w:val="ListParagraph"/>
        <w:numPr>
          <w:ilvl w:val="0"/>
          <w:numId w:val="1"/>
        </w:numPr>
        <w:spacing w:after="60"/>
      </w:pPr>
      <w:r>
        <w:t xml:space="preserve">Frontend AuthContext keeps the access token in memory only (never localStorage); silent refresh on app load; single-retry 401 interceptor; AuthGuard never flashes a logged-out state.</w:t>
      </w:r>
    </w:p>
    <w:p>
      <w:pPr>
        <w:pStyle w:val="ListParagraph"/>
        <w:numPr>
          <w:ilvl w:val="0"/>
          <w:numId w:val="1"/>
        </w:numPr>
        <w:spacing w:after="60"/>
      </w:pPr>
      <w:r>
        <w:t xml:space="preserve">Design system compliance: dark glassmorphism panel, neon-glow CTA, amber (not red) validation tint — all followed precisely in AuthForm.</w:t>
      </w:r>
    </w:p>
    <w:p>
      <w:pPr>
        <w:pStyle w:val="ListParagraph"/>
        <w:numPr>
          <w:ilvl w:val="0"/>
          <w:numId w:val="1"/>
        </w:numPr>
        <w:spacing w:after="60"/>
      </w:pPr>
      <w:r>
        <w:t xml:space="preserve">validators.py implements all four rules (email, password strength, 10-digit Indian phone, 6-digit pincode) exactly as specified.</w:t>
      </w:r>
    </w:p>
    <w:p>
      <w:pPr>
        <w:pStyle w:val="ListParagraph"/>
        <w:numPr>
          <w:ilvl w:val="0"/>
          <w:numId w:val="1"/>
        </w:numPr>
        <w:spacing w:after="60"/>
      </w:pPr>
      <w:r>
        <w:t xml:space="preserve">test_auth.py is a genuinely solid suite: password hashing, validators, token expiry/invalidity, signup/login/refresh service logic, HTTP-level endpoint tests, and role-isolation tests.</w:t>
      </w:r>
    </w:p>
    <w:p>
      <w:pPr>
        <w:pStyle w:val="Heading1"/>
        <w:spacing w:after="160" w:before="360"/>
      </w:pPr>
      <w:r>
        <w:rPr>
          <w:b/>
          <w:bCs/>
        </w:rPr>
        <w:t xml:space="preserve">2. Missing Files vs. Specified Folder Structure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700"/>
      </w:tblGrid>
      <w:tr>
        <w:tc>
          <w:tcPr>
            <w:tcW w:type="dxa" w:w="3600"/>
            <w:shd w:fill="1F2937" w:val="clear"/>
            <w:tcMar>
              <w:top w:type="dxa" w:w="80"/>
              <w:left w:type="dxa" w:w="120"/>
              <w:bottom w:type="dxa" w:w="80"/>
              <w:right w:type="dxa" w:w="120"/>
            </w:tcMar>
          </w:tcPr>
          <w:p>
            <w:r>
              <w:rPr>
                <w:b/>
                <w:bCs/>
                <w:color w:val="FFFFFF"/>
                <w:sz w:val="20"/>
                <w:szCs w:val="20"/>
              </w:rPr>
              <w:t xml:space="preserve">Item</w:t>
            </w:r>
          </w:p>
        </w:tc>
        <w:tc>
          <w:tcPr>
            <w:tcW w:type="dxa" w:w="1500"/>
            <w:shd w:fill="1F2937" w:val="clear"/>
            <w:tcMar>
              <w:top w:type="dxa" w:w="80"/>
              <w:left w:type="dxa" w:w="120"/>
              <w:bottom w:type="dxa" w:w="80"/>
              <w:right w:type="dxa" w:w="120"/>
            </w:tcMar>
          </w:tcPr>
          <w:p>
            <w:r>
              <w:rPr>
                <w:b/>
                <w:bCs/>
                <w:color w:val="FFFFFF"/>
                <w:sz w:val="20"/>
                <w:szCs w:val="20"/>
              </w:rPr>
              <w:t xml:space="preserve">Status</w:t>
            </w:r>
          </w:p>
        </w:tc>
        <w:tc>
          <w:tcPr>
            <w:tcW w:type="dxa" w:w="4700"/>
            <w:shd w:fill="1F2937" w:val="clear"/>
            <w:tcMar>
              <w:top w:type="dxa" w:w="80"/>
              <w:left w:type="dxa" w:w="120"/>
              <w:bottom w:type="dxa" w:w="80"/>
              <w:right w:type="dxa" w:w="120"/>
            </w:tcMar>
          </w:tcPr>
          <w:p>
            <w:r>
              <w:rPr>
                <w:b/>
                <w:bCs/>
                <w:color w:val="FFFFFF"/>
                <w:sz w:val="20"/>
                <w:szCs w:val="20"/>
              </w:rPr>
              <w:t xml:space="preserve">Note</w:t>
            </w:r>
          </w:p>
        </w:tc>
      </w:tr>
      <w:tr>
        <w:tc>
          <w:tcPr>
            <w:tcW w:type="dxa" w:w="3600"/>
            <w:tcMar>
              <w:top w:type="dxa" w:w="80"/>
              <w:left w:type="dxa" w:w="120"/>
              <w:bottom w:type="dxa" w:w="80"/>
              <w:right w:type="dxa" w:w="120"/>
            </w:tcMar>
          </w:tcPr>
          <w:p>
            <w:r>
              <w:rPr>
                <w:b w:val="false"/>
                <w:bCs w:val="false"/>
                <w:sz w:val="20"/>
                <w:szCs w:val="20"/>
              </w:rPr>
              <w:t xml:space="preserve">app/services/admin_auth_service.py</w:t>
            </w:r>
          </w:p>
        </w:tc>
        <w:tc>
          <w:tcPr>
            <w:tcW w:type="dxa" w:w="1500"/>
            <w:tcMar>
              <w:top w:type="dxa" w:w="80"/>
              <w:left w:type="dxa" w:w="120"/>
              <w:bottom w:type="dxa" w:w="80"/>
              <w:right w:type="dxa" w:w="120"/>
            </w:tcMar>
          </w:tcPr>
          <w:p>
            <w:r>
              <w:rPr>
                <w:b/>
                <w:bCs/>
                <w:color w:val="C0392B"/>
                <w:sz w:val="20"/>
                <w:szCs w:val="20"/>
              </w:rPr>
              <w:t xml:space="preserve">MISSING</w:t>
            </w:r>
          </w:p>
        </w:tc>
        <w:tc>
          <w:tcPr>
            <w:tcW w:type="dxa" w:w="4700"/>
            <w:tcMar>
              <w:top w:type="dxa" w:w="80"/>
              <w:left w:type="dxa" w:w="120"/>
              <w:bottom w:type="dxa" w:w="80"/>
              <w:right w:type="dxa" w:w="120"/>
            </w:tcMar>
          </w:tcPr>
          <w:p>
            <w:r>
              <w:rPr>
                <w:b w:val="false"/>
                <w:bCs w:val="false"/>
                <w:sz w:val="20"/>
                <w:szCs w:val="20"/>
              </w:rPr>
              <w:t xml:space="preserve">Admin login logic lives directly in admin_auth_routes.py — violates the stated 'one service file per domain, no cross-file business logic' rule.</w:t>
            </w:r>
          </w:p>
        </w:tc>
      </w:tr>
      <w:tr>
        <w:tc>
          <w:tcPr>
            <w:tcW w:type="dxa" w:w="3600"/>
            <w:tcMar>
              <w:top w:type="dxa" w:w="80"/>
              <w:left w:type="dxa" w:w="120"/>
              <w:bottom w:type="dxa" w:w="80"/>
              <w:right w:type="dxa" w:w="120"/>
            </w:tcMar>
          </w:tcPr>
          <w:p>
            <w:r>
              <w:rPr>
                <w:b w:val="false"/>
                <w:bCs w:val="false"/>
                <w:sz w:val="20"/>
                <w:szCs w:val="20"/>
              </w:rPr>
              <w:t xml:space="preserve">app/services/user_service.py</w:t>
            </w:r>
          </w:p>
        </w:tc>
        <w:tc>
          <w:tcPr>
            <w:tcW w:type="dxa" w:w="1500"/>
            <w:tcMar>
              <w:top w:type="dxa" w:w="80"/>
              <w:left w:type="dxa" w:w="120"/>
              <w:bottom w:type="dxa" w:w="80"/>
              <w:right w:type="dxa" w:w="120"/>
            </w:tcMar>
          </w:tcPr>
          <w:p>
            <w:r>
              <w:rPr>
                <w:b/>
                <w:bCs/>
                <w:color w:val="C0392B"/>
                <w:sz w:val="20"/>
                <w:szCs w:val="20"/>
              </w:rPr>
              <w:t xml:space="preserve">MISSING</w:t>
            </w:r>
          </w:p>
        </w:tc>
        <w:tc>
          <w:tcPr>
            <w:tcW w:type="dxa" w:w="4700"/>
            <w:tcMar>
              <w:top w:type="dxa" w:w="80"/>
              <w:left w:type="dxa" w:w="120"/>
              <w:bottom w:type="dxa" w:w="80"/>
              <w:right w:type="dxa" w:w="120"/>
            </w:tcMar>
          </w:tcPr>
          <w:p>
            <w:r>
              <w:rPr>
                <w:b w:val="false"/>
                <w:bCs w:val="false"/>
                <w:sz w:val="20"/>
                <w:szCs w:val="20"/>
              </w:rPr>
              <w:t xml:space="preserve">No service layer for profile routes at all; route file has no service to call.</w:t>
            </w:r>
          </w:p>
        </w:tc>
      </w:tr>
      <w:tr>
        <w:tc>
          <w:tcPr>
            <w:tcW w:type="dxa" w:w="3600"/>
            <w:tcMar>
              <w:top w:type="dxa" w:w="80"/>
              <w:left w:type="dxa" w:w="120"/>
              <w:bottom w:type="dxa" w:w="80"/>
              <w:right w:type="dxa" w:w="120"/>
            </w:tcMar>
          </w:tcPr>
          <w:p>
            <w:r>
              <w:rPr>
                <w:b w:val="false"/>
                <w:bCs w:val="false"/>
                <w:sz w:val="20"/>
                <w:szCs w:val="20"/>
              </w:rPr>
              <w:t xml:space="preserve">app/models/address.py</w:t>
            </w:r>
          </w:p>
        </w:tc>
        <w:tc>
          <w:tcPr>
            <w:tcW w:type="dxa" w:w="1500"/>
            <w:tcMar>
              <w:top w:type="dxa" w:w="80"/>
              <w:left w:type="dxa" w:w="120"/>
              <w:bottom w:type="dxa" w:w="80"/>
              <w:right w:type="dxa" w:w="120"/>
            </w:tcMar>
          </w:tcPr>
          <w:p>
            <w:r>
              <w:rPr>
                <w:b/>
                <w:bCs/>
                <w:color w:val="C0392B"/>
                <w:sz w:val="20"/>
                <w:szCs w:val="20"/>
              </w:rPr>
              <w:t xml:space="preserve">MISSING</w:t>
            </w:r>
          </w:p>
        </w:tc>
        <w:tc>
          <w:tcPr>
            <w:tcW w:type="dxa" w:w="4700"/>
            <w:tcMar>
              <w:top w:type="dxa" w:w="80"/>
              <w:left w:type="dxa" w:w="120"/>
              <w:bottom w:type="dxa" w:w="80"/>
              <w:right w:type="dxa" w:w="120"/>
            </w:tcMar>
          </w:tcPr>
          <w:p>
            <w:r>
              <w:rPr>
                <w:b w:val="false"/>
                <w:bCs w:val="false"/>
                <w:sz w:val="20"/>
                <w:szCs w:val="20"/>
              </w:rPr>
              <w:t xml:space="preserve">Arguably in2's file, but listed under the shared model structure — at minimum should exist as a stub.</w:t>
            </w:r>
          </w:p>
        </w:tc>
      </w:tr>
      <w:tr>
        <w:tc>
          <w:tcPr>
            <w:tcW w:type="dxa" w:w="3600"/>
            <w:tcMar>
              <w:top w:type="dxa" w:w="80"/>
              <w:left w:type="dxa" w:w="120"/>
              <w:bottom w:type="dxa" w:w="80"/>
              <w:right w:type="dxa" w:w="120"/>
            </w:tcMar>
          </w:tcPr>
          <w:p>
            <w:r>
              <w:rPr>
                <w:b w:val="false"/>
                <w:bCs w:val="false"/>
                <w:sz w:val="20"/>
                <w:szCs w:val="20"/>
              </w:rPr>
              <w:t xml:space="preserve">docs/architecture/</w:t>
            </w:r>
          </w:p>
        </w:tc>
        <w:tc>
          <w:tcPr>
            <w:tcW w:type="dxa" w:w="1500"/>
            <w:tcMar>
              <w:top w:type="dxa" w:w="80"/>
              <w:left w:type="dxa" w:w="120"/>
              <w:bottom w:type="dxa" w:w="80"/>
              <w:right w:type="dxa" w:w="120"/>
            </w:tcMar>
          </w:tcPr>
          <w:p>
            <w:r>
              <w:rPr>
                <w:b/>
                <w:bCs/>
                <w:color w:val="C0392B"/>
                <w:sz w:val="20"/>
                <w:szCs w:val="20"/>
              </w:rPr>
              <w:t xml:space="preserve">MISSING</w:t>
            </w:r>
          </w:p>
        </w:tc>
        <w:tc>
          <w:tcPr>
            <w:tcW w:type="dxa" w:w="4700"/>
            <w:tcMar>
              <w:top w:type="dxa" w:w="80"/>
              <w:left w:type="dxa" w:w="120"/>
              <w:bottom w:type="dxa" w:w="80"/>
              <w:right w:type="dxa" w:w="120"/>
            </w:tcMar>
          </w:tcPr>
          <w:p>
            <w:r>
              <w:rPr>
                <w:b w:val="false"/>
                <w:bCs w:val="false"/>
                <w:sz w:val="20"/>
                <w:szCs w:val="20"/>
              </w:rPr>
              <w:t xml:space="preserve">Folder not created; no architecture decisions authored.</w:t>
            </w:r>
          </w:p>
        </w:tc>
      </w:tr>
      <w:tr>
        <w:tc>
          <w:tcPr>
            <w:tcW w:type="dxa" w:w="3600"/>
            <w:tcMar>
              <w:top w:type="dxa" w:w="80"/>
              <w:left w:type="dxa" w:w="120"/>
              <w:bottom w:type="dxa" w:w="80"/>
              <w:right w:type="dxa" w:w="120"/>
            </w:tcMar>
          </w:tcPr>
          <w:p>
            <w:r>
              <w:rPr>
                <w:b w:val="false"/>
                <w:bCs w:val="false"/>
                <w:sz w:val="20"/>
                <w:szCs w:val="20"/>
              </w:rPr>
              <w:t xml:space="preserve">docs/api-contracts/</w:t>
            </w:r>
          </w:p>
        </w:tc>
        <w:tc>
          <w:tcPr>
            <w:tcW w:type="dxa" w:w="1500"/>
            <w:tcMar>
              <w:top w:type="dxa" w:w="80"/>
              <w:left w:type="dxa" w:w="120"/>
              <w:bottom w:type="dxa" w:w="80"/>
              <w:right w:type="dxa" w:w="120"/>
            </w:tcMar>
          </w:tcPr>
          <w:p>
            <w:r>
              <w:rPr>
                <w:b/>
                <w:bCs/>
                <w:color w:val="C0392B"/>
                <w:sz w:val="20"/>
                <w:szCs w:val="20"/>
              </w:rPr>
              <w:t xml:space="preserve">MISSING</w:t>
            </w:r>
          </w:p>
        </w:tc>
        <w:tc>
          <w:tcPr>
            <w:tcW w:type="dxa" w:w="4700"/>
            <w:tcMar>
              <w:top w:type="dxa" w:w="80"/>
              <w:left w:type="dxa" w:w="120"/>
              <w:bottom w:type="dxa" w:w="80"/>
              <w:right w:type="dxa" w:w="120"/>
            </w:tcMar>
          </w:tcPr>
          <w:p>
            <w:r>
              <w:rPr>
                <w:b w:val="false"/>
                <w:bCs w:val="false"/>
                <w:sz w:val="20"/>
                <w:szCs w:val="20"/>
              </w:rPr>
              <w:t xml:space="preserve">Folder not created; no frozen interface documentation authored.</w:t>
            </w:r>
          </w:p>
        </w:tc>
      </w:tr>
      <w:tr>
        <w:tc>
          <w:tcPr>
            <w:tcW w:type="dxa" w:w="3600"/>
            <w:tcMar>
              <w:top w:type="dxa" w:w="80"/>
              <w:left w:type="dxa" w:w="120"/>
              <w:bottom w:type="dxa" w:w="80"/>
              <w:right w:type="dxa" w:w="120"/>
            </w:tcMar>
          </w:tcPr>
          <w:p>
            <w:r>
              <w:rPr>
                <w:b w:val="false"/>
                <w:bCs w:val="false"/>
                <w:sz w:val="20"/>
                <w:szCs w:val="20"/>
              </w:rPr>
              <w:t xml:space="preserve">docs/governance/</w:t>
            </w:r>
          </w:p>
        </w:tc>
        <w:tc>
          <w:tcPr>
            <w:tcW w:type="dxa" w:w="1500"/>
            <w:tcMar>
              <w:top w:type="dxa" w:w="80"/>
              <w:left w:type="dxa" w:w="120"/>
              <w:bottom w:type="dxa" w:w="80"/>
              <w:right w:type="dxa" w:w="120"/>
            </w:tcMar>
          </w:tcPr>
          <w:p>
            <w:r>
              <w:rPr>
                <w:b/>
                <w:bCs/>
                <w:color w:val="C0392B"/>
                <w:sz w:val="20"/>
                <w:szCs w:val="20"/>
              </w:rPr>
              <w:t xml:space="preserve">MISSING</w:t>
            </w:r>
          </w:p>
        </w:tc>
        <w:tc>
          <w:tcPr>
            <w:tcW w:type="dxa" w:w="4700"/>
            <w:tcMar>
              <w:top w:type="dxa" w:w="80"/>
              <w:left w:type="dxa" w:w="120"/>
              <w:bottom w:type="dxa" w:w="80"/>
              <w:right w:type="dxa" w:w="120"/>
            </w:tcMar>
          </w:tcPr>
          <w:p>
            <w:r>
              <w:rPr>
                <w:b w:val="false"/>
                <w:bCs w:val="false"/>
                <w:sz w:val="20"/>
                <w:szCs w:val="20"/>
              </w:rPr>
              <w:t xml:space="preserve">Folder not created; no standards or review notes authored.</w:t>
            </w:r>
          </w:p>
        </w:tc>
      </w:tr>
    </w:tbl>
    <w:p>
      <w:pPr>
        <w:pStyle w:val="Heading1"/>
        <w:spacing w:after="160" w:before="360"/>
      </w:pPr>
      <w:r>
        <w:rPr>
          <w:b/>
          <w:bCs/>
        </w:rPr>
        <w:t xml:space="preserve">3. Bugs &amp; Mistakes</w:t>
      </w:r>
    </w:p>
    <w:p>
      <w:pPr>
        <w:pStyle w:val="Heading2"/>
        <w:spacing w:after="120" w:before="260"/>
      </w:pPr>
      <w:r>
        <w:rPr>
          <w:b/>
          <w:bCs/>
        </w:rPr>
        <w:t xml:space="preserve">3.1 Admin token stored in sessionStorage (Security Regression)</w:t>
      </w:r>
    </w:p>
    <w:p>
      <w:pPr>
        <w:spacing w:after="120"/>
      </w:pPr>
      <w:r>
        <w:t xml:space="preserve">In app/admin/login/page.tsx: sessionStorage.setItem("admin_token", ...). This directly contradicts the frozen state-management rule that access tokens must be held in memory only, never in Web Storage, to prevent XSS token theft. sessionStorage has the same exposure as localStorage. This is the single most important item to fix, since In1 owns this exact security principle for the rest of the module.</w:t>
      </w:r>
    </w:p>
    <w:p>
      <w:pPr>
        <w:pStyle w:val="Heading2"/>
        <w:spacing w:after="120" w:before="260"/>
      </w:pPr>
      <w:r>
        <w:rPr>
          <w:b/>
          <w:bCs/>
        </w:rPr>
        <w:t xml:space="preserve">3.2 No access/refresh token type distinction</w:t>
      </w:r>
    </w:p>
    <w:p>
      <w:pPr>
        <w:spacing w:after="120"/>
      </w:pPr>
      <w:r>
        <w:t xml:space="preserve">token_helper.py issues both access and refresh tokens with an identical shape ({sub, role, exp}) and no 'type' claim. /api/auth/refresh only checks 'role', so a still-valid access token presented at the refresh endpoint will be silently accepted and rotated. Low practical risk given the 15-minute expiry, but it undermines the 'distinct handling of expired vs. invalid tokens' architecture goal.</w:t>
      </w:r>
    </w:p>
    <w:p>
      <w:pPr>
        <w:pStyle w:val="Heading2"/>
        <w:spacing w:after="120" w:before="260"/>
      </w:pPr>
      <w:r>
        <w:rPr>
          <w:b/>
          <w:bCs/>
        </w:rPr>
        <w:t xml:space="preserve">3.3 Dead code: unused admin refresh cookie</w:t>
      </w:r>
    </w:p>
    <w:p>
      <w:pPr>
        <w:spacing w:after="120"/>
      </w:pPr>
      <w:r>
        <w:t xml:space="preserve">admin_auth_routes.py sets an httpOnly admin_refresh_token cookie on login, but no /api/admin/auth/refresh route exists to consume it. As written, admin sessions hard-expire after 15 minutes with no silent-refresh path.</w:t>
      </w:r>
    </w:p>
    <w:p>
      <w:pPr>
        <w:pStyle w:val="Heading2"/>
        <w:spacing w:after="120" w:before="260"/>
      </w:pPr>
      <w:r>
        <w:rPr>
          <w:b/>
          <w:bCs/>
        </w:rPr>
        <w:t xml:space="preserve">3.4 Inconsistent API response contract</w:t>
      </w:r>
    </w:p>
    <w:p>
      <w:pPr>
        <w:spacing w:after="120"/>
      </w:pPr>
      <w:r>
        <w:t xml:space="preserve">Several error responses (e.g., admin login 401/403) omit the "errors": {} key required by the standard failure shape { success: false, message, errors }. Minor, but inconsistent enforcement of a standard In1 is responsible for governing.</w:t>
      </w:r>
    </w:p>
    <w:p>
      <w:pPr>
        <w:pStyle w:val="Heading2"/>
        <w:spacing w:after="120" w:before="260"/>
      </w:pPr>
      <w:r>
        <w:rPr>
          <w:b/>
          <w:bCs/>
        </w:rPr>
        <w:t xml:space="preserve">3.5 Route-group naming deviation</w:t>
      </w:r>
    </w:p>
    <w:p>
      <w:pPr>
        <w:spacing w:after="120"/>
      </w:pPr>
      <w:r>
        <w:t xml:space="preserve">The spec's folder diagram shows (account)/ as a Next.js route group; the shipped code uses a plain app/account/ segment instead. (The spec's own prose elsewhere refers to '/account/profile' as a literal URL, so this is partly an ambiguity in the source docs — but it should be explicitly reconciled and documented rather than left inconsistent.)</w:t>
      </w:r>
    </w:p>
    <w:p>
      <w:pPr>
        <w:pStyle w:val="Heading1"/>
        <w:spacing w:after="160" w:before="360"/>
      </w:pPr>
      <w:r>
        <w:rPr>
          <w:b/>
          <w:bCs/>
        </w:rPr>
        <w:t xml:space="preserve">4. Scope Overreach (Conflicts With Your Own README Rule)</w:t>
      </w:r>
    </w:p>
    <w:p>
      <w:pPr>
        <w:spacing w:after="120"/>
      </w:pPr>
      <w:r>
        <w:t xml:space="preserve">Your own README states: "Do not modify files owned by other members." The following were built anyway, creating merge-conflict risk once the real owners push their branches:</w:t>
      </w:r>
    </w:p>
    <w:p>
      <w:pPr>
        <w:pStyle w:val="ListParagraph"/>
        <w:numPr>
          <w:ilvl w:val="0"/>
          <w:numId w:val="1"/>
        </w:numPr>
        <w:spacing w:after="60"/>
      </w:pPr>
      <w:r>
        <w:t xml:space="preserve">/account/profile, /account/addresses pages — owned by in2</w:t>
      </w:r>
    </w:p>
    <w:p>
      <w:pPr>
        <w:pStyle w:val="ListParagraph"/>
        <w:numPr>
          <w:ilvl w:val="0"/>
          <w:numId w:val="1"/>
        </w:numPr>
        <w:spacing w:after="60"/>
      </w:pPr>
      <w:r>
        <w:t xml:space="preserve">/admin/login page — owned by in4 (and doesn't follow the AuthContext pattern you were meant to enforce there)</w:t>
      </w:r>
    </w:p>
    <w:p>
      <w:pPr>
        <w:pStyle w:val="ListParagraph"/>
        <w:numPr>
          <w:ilvl w:val="0"/>
          <w:numId w:val="1"/>
        </w:numPr>
        <w:spacing w:after="60"/>
      </w:pPr>
      <w:r>
        <w:t xml:space="preserve">/forgot-password, /reset-password frontend pages — in3's territory</w:t>
      </w:r>
    </w:p>
    <w:p>
      <w:pPr>
        <w:pStyle w:val="ListParagraph"/>
        <w:numPr>
          <w:ilvl w:val="0"/>
          <w:numId w:val="1"/>
        </w:numPr>
        <w:spacing w:after="60"/>
      </w:pPr>
      <w:r>
        <w:t xml:space="preserve">frontend/lib/validators.ts — described in the spec as "in3's shared validators module"</w:t>
      </w:r>
    </w:p>
    <w:p>
      <w:pPr>
        <w:spacing w:after="120"/>
      </w:pPr>
      <w:r>
        <w:rPr>
          <w:i/>
          <w:iCs/>
          <w:color w:val="666666"/>
        </w:rPr>
        <w:t xml:space="preserve">These are clearly commented as placeholders, which is good practice, but they should be removed or explicitly marked temporary/removable before merge.</w:t>
      </w:r>
    </w:p>
    <w:p>
      <w:pPr>
        <w:pStyle w:val="Heading1"/>
        <w:spacing w:after="160" w:before="360"/>
      </w:pPr>
      <w:r>
        <w:rPr>
          <w:b/>
          <w:bCs/>
        </w:rPr>
        <w:t xml:space="preserve">5. Action Checklist to Reach 100%</w:t>
      </w:r>
    </w:p>
    <w:p>
      <w:pPr>
        <w:pStyle w:val="Heading2"/>
        <w:spacing w:after="120" w:before="260"/>
      </w:pPr>
      <w:r>
        <w:rPr>
          <w:b/>
          <w:bCs/>
        </w:rPr>
        <w:t xml:space="preserve">5.1 Code Fixes</w:t>
      </w:r>
    </w:p>
    <w:p>
      <w:pPr>
        <w:pStyle w:val="ListParagraph"/>
        <w:numPr>
          <w:ilvl w:val="0"/>
          <w:numId w:val="2"/>
        </w:numPr>
        <w:spacing w:after="80"/>
      </w:pPr>
      <w:r>
        <w:t xml:space="preserve">Move admin token storage from sessionStorage to an in-memory AdminAuthContext, mirroring the customer AuthContext pattern (separate context instance / no shared storage key).</w:t>
      </w:r>
    </w:p>
    <w:p>
      <w:pPr>
        <w:pStyle w:val="ListParagraph"/>
        <w:numPr>
          <w:ilvl w:val="0"/>
          <w:numId w:val="2"/>
        </w:numPr>
        <w:spacing w:after="80"/>
      </w:pPr>
      <w:r>
        <w:t xml:space="preserve">Add a "type": "access" | "refresh" claim to the JWT payload in token_helper.py; enforce it in /api/auth/refresh and any future /api/admin/auth/refresh.</w:t>
      </w:r>
    </w:p>
    <w:p>
      <w:pPr>
        <w:pStyle w:val="ListParagraph"/>
        <w:numPr>
          <w:ilvl w:val="0"/>
          <w:numId w:val="2"/>
        </w:numPr>
        <w:spacing w:after="80"/>
      </w:pPr>
      <w:r>
        <w:t xml:space="preserve">Create app/services/admin_auth_service.py and move the DB query / credential verification logic out of admin_auth_routes.py into it.</w:t>
      </w:r>
    </w:p>
    <w:p>
      <w:pPr>
        <w:pStyle w:val="ListParagraph"/>
        <w:numPr>
          <w:ilvl w:val="0"/>
          <w:numId w:val="2"/>
        </w:numPr>
        <w:spacing w:after="80"/>
      </w:pPr>
      <w:r>
        <w:t xml:space="preserve">Create app/services/user_service.py (even as a thin wrapper) so user_routes.py follows the service-layer convention instead of touching the model directly.</w:t>
      </w:r>
    </w:p>
    <w:p>
      <w:pPr>
        <w:pStyle w:val="ListParagraph"/>
        <w:numPr>
          <w:ilvl w:val="0"/>
          <w:numId w:val="2"/>
        </w:numPr>
        <w:spacing w:after="80"/>
      </w:pPr>
      <w:r>
        <w:t xml:space="preserve">Add app/models/address.py (can be a stub/interface if in2 hasn't landed yet) so the documented model structure is complete.</w:t>
      </w:r>
    </w:p>
    <w:p>
      <w:pPr>
        <w:pStyle w:val="ListParagraph"/>
        <w:numPr>
          <w:ilvl w:val="0"/>
          <w:numId w:val="2"/>
        </w:numPr>
        <w:spacing w:after="80"/>
      </w:pPr>
      <w:r>
        <w:t xml:space="preserve">Either implement /api/admin/auth/refresh to consume the admin_refresh_token cookie, or stop setting that cookie until the endpoint exists.</w:t>
      </w:r>
    </w:p>
    <w:p>
      <w:pPr>
        <w:pStyle w:val="ListParagraph"/>
        <w:numPr>
          <w:ilvl w:val="0"/>
          <w:numId w:val="2"/>
        </w:numPr>
        <w:spacing w:after="80"/>
      </w:pPr>
      <w:r>
        <w:t xml:space="preserve">Normalize every error response to include "errors": {} per the platform-standard failure shape.</w:t>
      </w:r>
    </w:p>
    <w:p>
      <w:pPr>
        <w:pStyle w:val="ListParagraph"/>
        <w:numPr>
          <w:ilvl w:val="0"/>
          <w:numId w:val="2"/>
        </w:numPr>
        <w:spacing w:after="80"/>
      </w:pPr>
      <w:r>
        <w:t xml:space="preserve">Resolve the (account) vs account routing ambiguity explicitly — pick one, document it, and make the code and spec agree.</w:t>
      </w:r>
    </w:p>
    <w:p>
      <w:pPr>
        <w:pStyle w:val="ListParagraph"/>
        <w:numPr>
          <w:ilvl w:val="0"/>
          <w:numId w:val="2"/>
        </w:numPr>
        <w:spacing w:after="80"/>
      </w:pPr>
      <w:r>
        <w:t xml:space="preserve">Remove or clearly gate the out-of-scope pages (in2/in3/in4 placeholders) behind a feature flag or delete them before merge, per your own branch-discipline rule.</w:t>
      </w:r>
    </w:p>
    <w:p>
      <w:pPr>
        <w:pStyle w:val="Heading2"/>
        <w:spacing w:after="120" w:before="260"/>
      </w:pPr>
      <w:r>
        <w:rPr>
          <w:b/>
          <w:bCs/>
        </w:rPr>
        <w:t xml:space="preserve">5.2 Documentation Deliverables (Highest Priority Gap)</w:t>
      </w:r>
    </w:p>
    <w:p>
      <w:pPr>
        <w:pStyle w:val="ListParagraph"/>
        <w:numPr>
          <w:ilvl w:val="0"/>
          <w:numId w:val="2"/>
        </w:numPr>
        <w:spacing w:after="80"/>
      </w:pPr>
      <w:r>
        <w:t xml:space="preserve">Author docs/architecture/module-1-architecture.md — folder structure rationale, token architecture, middleware design decisions (this is Final Deliverable #1).</w:t>
      </w:r>
    </w:p>
    <w:p>
      <w:pPr>
        <w:pStyle w:val="ListParagraph"/>
        <w:numPr>
          <w:ilvl w:val="0"/>
          <w:numId w:val="2"/>
        </w:numPr>
        <w:spacing w:after="80"/>
      </w:pPr>
      <w:r>
        <w:t xml:space="preserve">Author docs/api-contracts/auth-contract.md — publish the frozen @require_auth / @require_admin contract, JWT payload shape, and standard error codes for the other 11 module teams (Final Deliverable #5).</w:t>
      </w:r>
    </w:p>
    <w:p>
      <w:pPr>
        <w:pStyle w:val="ListParagraph"/>
        <w:numPr>
          <w:ilvl w:val="0"/>
          <w:numId w:val="2"/>
        </w:numPr>
        <w:spacing w:after="80"/>
      </w:pPr>
      <w:r>
        <w:t xml:space="preserve">Author docs/governance/api-standards.md — the request/response contract, naming standards, and validation standards you are responsible for approving (Final Deliverable #7).</w:t>
      </w:r>
    </w:p>
    <w:p>
      <w:pPr>
        <w:pStyle w:val="ListParagraph"/>
        <w:numPr>
          <w:ilvl w:val="0"/>
          <w:numId w:val="2"/>
        </w:numPr>
        <w:spacing w:after="80"/>
      </w:pPr>
      <w:r>
        <w:t xml:space="preserve">Write a Security Validation Report covering bcrypt cost factor, rate limiting, cookie flags, CORS policy, and the two gaps noted above (Final Deliverable #8).</w:t>
      </w:r>
    </w:p>
    <w:p>
      <w:pPr>
        <w:pStyle w:val="ListParagraph"/>
        <w:numPr>
          <w:ilvl w:val="0"/>
          <w:numId w:val="2"/>
        </w:numPr>
        <w:spacing w:after="80"/>
      </w:pPr>
      <w:r>
        <w:t xml:space="preserve">Write an Integration Test Report summarizing test_auth.py coverage and what remains untested (e.g., admin login via HTTP, address model) (Final Deliverable #9).</w:t>
      </w:r>
    </w:p>
    <w:p>
      <w:pPr>
        <w:pStyle w:val="ListParagraph"/>
        <w:numPr>
          <w:ilvl w:val="0"/>
          <w:numId w:val="2"/>
        </w:numPr>
        <w:spacing w:after="80"/>
      </w:pPr>
      <w:r>
        <w:t xml:space="preserve">Write a Handoff Readiness Report confirming which endpoints/contracts are safe for the other 11 teams to consume today vs. pending (Final Deliverable #10).</w:t>
      </w:r>
    </w:p>
    <w:p>
      <w:pPr>
        <w:pStyle w:val="ListParagraph"/>
        <w:numPr>
          <w:ilvl w:val="0"/>
          <w:numId w:val="2"/>
        </w:numPr>
        <w:spacing w:after="80"/>
      </w:pPr>
      <w:r>
        <w:t xml:space="preserve">Produce a Final Technical Approval sign-off once the above are complete (Final Deliverable #11).</w:t>
      </w:r>
    </w:p>
    <w:p>
      <w:pPr>
        <w:pStyle w:val="Heading2"/>
        <w:spacing w:after="120" w:before="260"/>
      </w:pPr>
      <w:r>
        <w:rPr>
          <w:b/>
          <w:bCs/>
        </w:rPr>
        <w:t xml:space="preserve">5.3 Testing Gaps</w:t>
      </w:r>
    </w:p>
    <w:p>
      <w:pPr>
        <w:pStyle w:val="ListParagraph"/>
        <w:numPr>
          <w:ilvl w:val="0"/>
          <w:numId w:val="2"/>
        </w:numPr>
        <w:spacing w:after="80"/>
      </w:pPr>
      <w:r>
        <w:t xml:space="preserve">Add an HTTP-level test for POST /api/admin/auth/login (current tests only exercise @require_admin using directly-generated tokens, not the login flow itself).</w:t>
      </w:r>
    </w:p>
    <w:p>
      <w:pPr>
        <w:pStyle w:val="ListParagraph"/>
        <w:numPr>
          <w:ilvl w:val="0"/>
          <w:numId w:val="2"/>
        </w:numPr>
        <w:spacing w:after="80"/>
      </w:pPr>
      <w:r>
        <w:t xml:space="preserve">Add a test asserting /api/auth/refresh rejects a token once the type claim is introduced.</w:t>
      </w:r>
    </w:p>
    <w:p>
      <w:pPr>
        <w:pStyle w:val="Heading1"/>
        <w:spacing w:after="160" w:before="360"/>
      </w:pPr>
      <w:r>
        <w:rPr>
          <w:b/>
          <w:bCs/>
        </w:rPr>
        <w:t xml:space="preserve">6. Summary</w:t>
      </w:r>
    </w:p>
    <w:p>
      <w:pPr>
        <w:spacing w:after="120"/>
      </w:pPr>
      <w:r>
        <w:t xml:space="preserve">Dilip has clearly done real engineering work here — the JWT lifecycle, middleware, and frontend session layer are close to production quality and match the frozen contract precisely. The path to 100% is less about writing new features and more about: (1) fixing the admin token storage regression, (2) filling the two missing service files, and (3) producing the governance/architecture documentation that this role is explicitly accountable for. None of these are large lifts individually, but together they represent close to a third of the defined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2026-07-04T08:16:32.470Z</dcterms:created>
  <dcterms:modified xsi:type="dcterms:W3CDTF">2026-07-04T08:16:32.470Z</dcterms:modified>
</cp:coreProperties>
</file>

<file path=docProps/custom.xml><?xml version="1.0" encoding="utf-8"?>
<Properties xmlns="http://schemas.openxmlformats.org/officeDocument/2006/custom-properties" xmlns:vt="http://schemas.openxmlformats.org/officeDocument/2006/docPropsVTypes"/>
</file>