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GALXY — Module 1 (Auth)</w:t>
      </w:r>
    </w:p>
    <w:p>
      <w:pPr>
        <w:pStyle w:val="Heading2"/>
        <w:spacing w:after="60"/>
      </w:pPr>
      <w:r>
        <w:rPr>
          <w:b/>
          <w:bCs/>
          <w:color w:val="555555"/>
        </w:rPr>
        <w:t xml:space="preserve">Code Review — Round 2 (Strict Mode) — In1 (Dilip Velayutham)</w:t>
      </w:r>
    </w:p>
    <w:p>
      <w:pPr>
        <w:spacing w:after="120"/>
      </w:pPr>
      <w:r>
        <w:rPr>
          <w:i/>
          <w:iCs/>
          <w:color w:val="777777"/>
          <w:sz w:val="20"/>
          <w:szCs w:val="20"/>
        </w:rPr>
        <w:t xml:space="preserve">Reviewed against: Galxy Project Plan · Galxy Module 1 (Auth) Spec · In1 (Dilip) Execution Plan · Round 1 Review Doc</w:t>
      </w:r>
    </w:p>
    <w:p>
      <w:pPr>
        <w:spacing w:after="120"/>
      </w:pPr>
      <w:r>
        <w:rPr>
          <w:i/>
          <w:iCs/>
          <w:color w:val="777777"/>
          <w:sz w:val="20"/>
          <w:szCs w:val="20"/>
        </w:rPr>
        <w:t xml:space="preserve">Submission reviewed: galxy-module-1-auth-in1-dilip__1_.zip (post-remediation)</w:t>
      </w:r>
    </w:p>
    <w:p>
      <w:pPr>
        <w:pStyle w:val="Heading1"/>
        <w:spacing w:after="160" w:before="360"/>
      </w:pPr>
      <w:r>
        <w:rPr>
          <w:b/>
          <w:bCs/>
        </w:rPr>
        <w:t xml:space="preserve">Overall Completion: 80% (Round 1 was 67%)</w:t>
      </w:r>
    </w:p>
    <w:p>
      <w:pPr>
        <w:spacing w:after="120"/>
      </w:pPr>
      <w:r>
        <w:t xml:space="preserve">Genuine, verifiable progress was made on almost every item flagged in Round 1: all missing service/model files were created, the sessionStorage security regression was properly fixed with a dedicated AdminAuthContext, out-of-scope pages were removed, and all seven missing governance documents were authored. However, this round surfaced one critical, previously-undetected gap: the access/refresh token type claim you added is not enforced by the auth middleware, and your own new governance documents (architecture, security-validation, final-technical-approval) explicitly and incorrectly certify that it is. That combination — a real security gap plus an inaccurate sign-off — is why the score does not simply add up round 1's gains.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500"/>
        <w:gridCol w:w="2600"/>
      </w:tblGrid>
      <w:tr>
        <w:tc>
          <w:tcPr>
            <w:tcW w:type="dxa" w:w="4200"/>
            <w:shd w:fill="1F2937" w:val="clear"/>
            <w:tcMar>
              <w:top w:type="dxa" w:w="80"/>
              <w:left w:type="dxa" w:w="120"/>
              <w:bottom w:type="dxa" w:w="80"/>
              <w:right w:type="dxa" w:w="120"/>
            </w:tcMar>
          </w:tcPr>
          <w:p>
            <w:r>
              <w:rPr>
                <w:b/>
                <w:bCs/>
                <w:color w:val="FFFFFF"/>
                <w:sz w:val="20"/>
                <w:szCs w:val="20"/>
              </w:rPr>
              <w:t xml:space="preserve">Category</w:t>
            </w:r>
          </w:p>
        </w:tc>
        <w:tc>
          <w:tcPr>
            <w:tcW w:type="dxa" w:w="1500"/>
            <w:shd w:fill="1F2937" w:val="clear"/>
            <w:tcMar>
              <w:top w:type="dxa" w:w="80"/>
              <w:left w:type="dxa" w:w="120"/>
              <w:bottom w:type="dxa" w:w="80"/>
              <w:right w:type="dxa" w:w="120"/>
            </w:tcMar>
          </w:tcPr>
          <w:p>
            <w:r>
              <w:rPr>
                <w:b/>
                <w:bCs/>
                <w:color w:val="FFFFFF"/>
                <w:sz w:val="20"/>
                <w:szCs w:val="20"/>
              </w:rPr>
              <w:t xml:space="preserve">Round 1</w:t>
            </w:r>
          </w:p>
        </w:tc>
        <w:tc>
          <w:tcPr>
            <w:tcW w:type="dxa" w:w="1500"/>
            <w:shd w:fill="1F2937" w:val="clear"/>
            <w:tcMar>
              <w:top w:type="dxa" w:w="80"/>
              <w:left w:type="dxa" w:w="120"/>
              <w:bottom w:type="dxa" w:w="80"/>
              <w:right w:type="dxa" w:w="120"/>
            </w:tcMar>
          </w:tcPr>
          <w:p>
            <w:r>
              <w:rPr>
                <w:b/>
                <w:bCs/>
                <w:color w:val="FFFFFF"/>
                <w:sz w:val="20"/>
                <w:szCs w:val="20"/>
              </w:rPr>
              <w:t xml:space="preserve">Round 2</w:t>
            </w:r>
          </w:p>
        </w:tc>
        <w:tc>
          <w:tcPr>
            <w:tcW w:type="dxa" w:w="2600"/>
            <w:shd w:fill="1F2937" w:val="clear"/>
            <w:tcMar>
              <w:top w:type="dxa" w:w="80"/>
              <w:left w:type="dxa" w:w="120"/>
              <w:bottom w:type="dxa" w:w="80"/>
              <w:right w:type="dxa" w:w="120"/>
            </w:tcMar>
          </w:tcPr>
          <w:p>
            <w:r>
              <w:rPr>
                <w:b/>
                <w:bCs/>
                <w:color w:val="FFFFFF"/>
                <w:sz w:val="20"/>
                <w:szCs w:val="20"/>
              </w:rPr>
              <w:t xml:space="preserve">Change</w:t>
            </w:r>
          </w:p>
        </w:tc>
      </w:tr>
      <w:tr>
        <w:tc>
          <w:tcPr>
            <w:tcW w:type="dxa" w:w="4200"/>
            <w:tcMar>
              <w:top w:type="dxa" w:w="80"/>
              <w:left w:type="dxa" w:w="120"/>
              <w:bottom w:type="dxa" w:w="80"/>
              <w:right w:type="dxa" w:w="120"/>
            </w:tcMar>
          </w:tcPr>
          <w:p>
            <w:r>
              <w:rPr>
                <w:b w:val="false"/>
                <w:bCs w:val="false"/>
                <w:sz w:val="20"/>
                <w:szCs w:val="20"/>
              </w:rPr>
              <w:t xml:space="preserve">Backend architecture &amp; repo structure</w:t>
            </w:r>
          </w:p>
        </w:tc>
        <w:tc>
          <w:tcPr>
            <w:tcW w:type="dxa" w:w="1500"/>
            <w:tcMar>
              <w:top w:type="dxa" w:w="80"/>
              <w:left w:type="dxa" w:w="120"/>
              <w:bottom w:type="dxa" w:w="80"/>
              <w:right w:type="dxa" w:w="120"/>
            </w:tcMar>
          </w:tcPr>
          <w:p>
            <w:r>
              <w:rPr>
                <w:b w:val="false"/>
                <w:bCs w:val="false"/>
                <w:sz w:val="20"/>
                <w:szCs w:val="20"/>
              </w:rPr>
              <w:t xml:space="preserve">15 / 20</w:t>
            </w:r>
          </w:p>
        </w:tc>
        <w:tc>
          <w:tcPr>
            <w:tcW w:type="dxa" w:w="1500"/>
            <w:tcMar>
              <w:top w:type="dxa" w:w="80"/>
              <w:left w:type="dxa" w:w="120"/>
              <w:bottom w:type="dxa" w:w="80"/>
              <w:right w:type="dxa" w:w="120"/>
            </w:tcMar>
          </w:tcPr>
          <w:p>
            <w:r>
              <w:rPr>
                <w:b w:val="false"/>
                <w:bCs w:val="false"/>
                <w:sz w:val="20"/>
                <w:szCs w:val="20"/>
              </w:rPr>
              <w:t xml:space="preserve">19 / 20</w:t>
            </w:r>
          </w:p>
        </w:tc>
        <w:tc>
          <w:tcPr>
            <w:tcW w:type="dxa" w:w="2600"/>
            <w:tcMar>
              <w:top w:type="dxa" w:w="80"/>
              <w:left w:type="dxa" w:w="120"/>
              <w:bottom w:type="dxa" w:w="80"/>
              <w:right w:type="dxa" w:w="120"/>
            </w:tcMar>
          </w:tcPr>
          <w:p>
            <w:r>
              <w:rPr>
                <w:b w:val="false"/>
                <w:bCs w:val="false"/>
                <w:sz w:val="20"/>
                <w:szCs w:val="20"/>
              </w:rPr>
              <w:t xml:space="preserve">Improved</w:t>
            </w:r>
          </w:p>
        </w:tc>
      </w:tr>
      <w:tr>
        <w:tc>
          <w:tcPr>
            <w:tcW w:type="dxa" w:w="4200"/>
            <w:shd w:fill="F7F7F7" w:val="clear"/>
            <w:tcMar>
              <w:top w:type="dxa" w:w="80"/>
              <w:left w:type="dxa" w:w="120"/>
              <w:bottom w:type="dxa" w:w="80"/>
              <w:right w:type="dxa" w:w="120"/>
            </w:tcMar>
          </w:tcPr>
          <w:p>
            <w:r>
              <w:rPr>
                <w:b w:val="false"/>
                <w:bCs w:val="false"/>
                <w:sz w:val="20"/>
                <w:szCs w:val="20"/>
              </w:rPr>
              <w:t xml:space="preserve">JWT / Token lifecycle</w:t>
            </w:r>
          </w:p>
        </w:tc>
        <w:tc>
          <w:tcPr>
            <w:tcW w:type="dxa" w:w="1500"/>
            <w:shd w:fill="F7F7F7" w:val="clear"/>
            <w:tcMar>
              <w:top w:type="dxa" w:w="80"/>
              <w:left w:type="dxa" w:w="120"/>
              <w:bottom w:type="dxa" w:w="80"/>
              <w:right w:type="dxa" w:w="120"/>
            </w:tcMar>
          </w:tcPr>
          <w:p>
            <w:r>
              <w:rPr>
                <w:b w:val="false"/>
                <w:bCs w:val="false"/>
                <w:sz w:val="20"/>
                <w:szCs w:val="20"/>
              </w:rPr>
              <w:t xml:space="preserve">16 / 18</w:t>
            </w:r>
          </w:p>
        </w:tc>
        <w:tc>
          <w:tcPr>
            <w:tcW w:type="dxa" w:w="1500"/>
            <w:shd w:fill="F7F7F7" w:val="clear"/>
            <w:tcMar>
              <w:top w:type="dxa" w:w="80"/>
              <w:left w:type="dxa" w:w="120"/>
              <w:bottom w:type="dxa" w:w="80"/>
              <w:right w:type="dxa" w:w="120"/>
            </w:tcMar>
          </w:tcPr>
          <w:p>
            <w:r>
              <w:rPr>
                <w:b w:val="false"/>
                <w:bCs w:val="false"/>
                <w:sz w:val="20"/>
                <w:szCs w:val="20"/>
              </w:rPr>
              <w:t xml:space="preserve">12 / 18</w:t>
            </w:r>
          </w:p>
        </w:tc>
        <w:tc>
          <w:tcPr>
            <w:tcW w:type="dxa" w:w="2600"/>
            <w:shd w:fill="F7F7F7" w:val="clear"/>
            <w:tcMar>
              <w:top w:type="dxa" w:w="80"/>
              <w:left w:type="dxa" w:w="120"/>
              <w:bottom w:type="dxa" w:w="80"/>
              <w:right w:type="dxa" w:w="120"/>
            </w:tcMar>
          </w:tcPr>
          <w:p>
            <w:r>
              <w:rPr>
                <w:b w:val="false"/>
                <w:bCs w:val="false"/>
                <w:sz w:val="20"/>
                <w:szCs w:val="20"/>
              </w:rPr>
              <w:t xml:space="preserve">Regressed (claim added, not enforced)</w:t>
            </w:r>
          </w:p>
        </w:tc>
      </w:tr>
      <w:tr>
        <w:tc>
          <w:tcPr>
            <w:tcW w:type="dxa" w:w="4200"/>
            <w:tcMar>
              <w:top w:type="dxa" w:w="80"/>
              <w:left w:type="dxa" w:w="120"/>
              <w:bottom w:type="dxa" w:w="80"/>
              <w:right w:type="dxa" w:w="120"/>
            </w:tcMar>
          </w:tcPr>
          <w:p>
            <w:r>
              <w:rPr>
                <w:b w:val="false"/>
                <w:bCs w:val="false"/>
                <w:sz w:val="20"/>
                <w:szCs w:val="20"/>
              </w:rPr>
              <w:t xml:space="preserve">Auth middleware</w:t>
            </w:r>
          </w:p>
        </w:tc>
        <w:tc>
          <w:tcPr>
            <w:tcW w:type="dxa" w:w="1500"/>
            <w:tcMar>
              <w:top w:type="dxa" w:w="80"/>
              <w:left w:type="dxa" w:w="120"/>
              <w:bottom w:type="dxa" w:w="80"/>
              <w:right w:type="dxa" w:w="120"/>
            </w:tcMar>
          </w:tcPr>
          <w:p>
            <w:r>
              <w:rPr>
                <w:b w:val="false"/>
                <w:bCs w:val="false"/>
                <w:sz w:val="20"/>
                <w:szCs w:val="20"/>
              </w:rPr>
              <w:t xml:space="preserve">10 / 10</w:t>
            </w:r>
          </w:p>
        </w:tc>
        <w:tc>
          <w:tcPr>
            <w:tcW w:type="dxa" w:w="1500"/>
            <w:tcMar>
              <w:top w:type="dxa" w:w="80"/>
              <w:left w:type="dxa" w:w="120"/>
              <w:bottom w:type="dxa" w:w="80"/>
              <w:right w:type="dxa" w:w="120"/>
            </w:tcMar>
          </w:tcPr>
          <w:p>
            <w:r>
              <w:rPr>
                <w:b w:val="false"/>
                <w:bCs w:val="false"/>
                <w:sz w:val="20"/>
                <w:szCs w:val="20"/>
              </w:rPr>
              <w:t xml:space="preserve">7 / 10</w:t>
            </w:r>
          </w:p>
        </w:tc>
        <w:tc>
          <w:tcPr>
            <w:tcW w:type="dxa" w:w="2600"/>
            <w:tcMar>
              <w:top w:type="dxa" w:w="80"/>
              <w:left w:type="dxa" w:w="120"/>
              <w:bottom w:type="dxa" w:w="80"/>
              <w:right w:type="dxa" w:w="120"/>
            </w:tcMar>
          </w:tcPr>
          <w:p>
            <w:r>
              <w:rPr>
                <w:b w:val="false"/>
                <w:bCs w:val="false"/>
                <w:sz w:val="20"/>
                <w:szCs w:val="20"/>
              </w:rPr>
              <w:t xml:space="preserve">Regressed (type never checked)</w:t>
            </w:r>
          </w:p>
        </w:tc>
      </w:tr>
      <w:tr>
        <w:tc>
          <w:tcPr>
            <w:tcW w:type="dxa" w:w="4200"/>
            <w:shd w:fill="F7F7F7" w:val="clear"/>
            <w:tcMar>
              <w:top w:type="dxa" w:w="80"/>
              <w:left w:type="dxa" w:w="120"/>
              <w:bottom w:type="dxa" w:w="80"/>
              <w:right w:type="dxa" w:w="120"/>
            </w:tcMar>
          </w:tcPr>
          <w:p>
            <w:r>
              <w:rPr>
                <w:b w:val="false"/>
                <w:bCs w:val="false"/>
                <w:sz w:val="20"/>
                <w:szCs w:val="20"/>
              </w:rPr>
              <w:t xml:space="preserve">API endpoints &amp; response contract</w:t>
            </w:r>
          </w:p>
        </w:tc>
        <w:tc>
          <w:tcPr>
            <w:tcW w:type="dxa" w:w="1500"/>
            <w:shd w:fill="F7F7F7" w:val="clear"/>
            <w:tcMar>
              <w:top w:type="dxa" w:w="80"/>
              <w:left w:type="dxa" w:w="120"/>
              <w:bottom w:type="dxa" w:w="80"/>
              <w:right w:type="dxa" w:w="120"/>
            </w:tcMar>
          </w:tcPr>
          <w:p>
            <w:r>
              <w:rPr>
                <w:b w:val="false"/>
                <w:bCs w:val="false"/>
                <w:sz w:val="20"/>
                <w:szCs w:val="20"/>
              </w:rPr>
              <w:t xml:space="preserve">14 / 18</w:t>
            </w:r>
          </w:p>
        </w:tc>
        <w:tc>
          <w:tcPr>
            <w:tcW w:type="dxa" w:w="1500"/>
            <w:shd w:fill="F7F7F7" w:val="clear"/>
            <w:tcMar>
              <w:top w:type="dxa" w:w="80"/>
              <w:left w:type="dxa" w:w="120"/>
              <w:bottom w:type="dxa" w:w="80"/>
              <w:right w:type="dxa" w:w="120"/>
            </w:tcMar>
          </w:tcPr>
          <w:p>
            <w:r>
              <w:rPr>
                <w:b w:val="false"/>
                <w:bCs w:val="false"/>
                <w:sz w:val="20"/>
                <w:szCs w:val="20"/>
              </w:rPr>
              <w:t xml:space="preserve">16 / 18</w:t>
            </w:r>
          </w:p>
        </w:tc>
        <w:tc>
          <w:tcPr>
            <w:tcW w:type="dxa" w:w="2600"/>
            <w:shd w:fill="F7F7F7" w:val="clear"/>
            <w:tcMar>
              <w:top w:type="dxa" w:w="80"/>
              <w:left w:type="dxa" w:w="120"/>
              <w:bottom w:type="dxa" w:w="80"/>
              <w:right w:type="dxa" w:w="120"/>
            </w:tcMar>
          </w:tcPr>
          <w:p>
            <w:r>
              <w:rPr>
                <w:b w:val="false"/>
                <w:bCs w:val="false"/>
                <w:sz w:val="20"/>
                <w:szCs w:val="20"/>
              </w:rPr>
              <w:t xml:space="preserve">Improved</w:t>
            </w:r>
          </w:p>
        </w:tc>
      </w:tr>
      <w:tr>
        <w:tc>
          <w:tcPr>
            <w:tcW w:type="dxa" w:w="4200"/>
            <w:tcMar>
              <w:top w:type="dxa" w:w="80"/>
              <w:left w:type="dxa" w:w="120"/>
              <w:bottom w:type="dxa" w:w="80"/>
              <w:right w:type="dxa" w:w="120"/>
            </w:tcMar>
          </w:tcPr>
          <w:p>
            <w:r>
              <w:rPr>
                <w:b w:val="false"/>
                <w:bCs w:val="false"/>
                <w:sz w:val="20"/>
                <w:szCs w:val="20"/>
              </w:rPr>
              <w:t xml:space="preserve">Security</w:t>
            </w:r>
          </w:p>
        </w:tc>
        <w:tc>
          <w:tcPr>
            <w:tcW w:type="dxa" w:w="1500"/>
            <w:tcMar>
              <w:top w:type="dxa" w:w="80"/>
              <w:left w:type="dxa" w:w="120"/>
              <w:bottom w:type="dxa" w:w="80"/>
              <w:right w:type="dxa" w:w="120"/>
            </w:tcMar>
          </w:tcPr>
          <w:p>
            <w:r>
              <w:rPr>
                <w:b w:val="false"/>
                <w:bCs w:val="false"/>
                <w:sz w:val="20"/>
                <w:szCs w:val="20"/>
              </w:rPr>
              <w:t xml:space="preserve">11 / 18</w:t>
            </w:r>
          </w:p>
        </w:tc>
        <w:tc>
          <w:tcPr>
            <w:tcW w:type="dxa" w:w="1500"/>
            <w:tcMar>
              <w:top w:type="dxa" w:w="80"/>
              <w:left w:type="dxa" w:w="120"/>
              <w:bottom w:type="dxa" w:w="80"/>
              <w:right w:type="dxa" w:w="120"/>
            </w:tcMar>
          </w:tcPr>
          <w:p>
            <w:r>
              <w:rPr>
                <w:b w:val="false"/>
                <w:bCs w:val="false"/>
                <w:sz w:val="20"/>
                <w:szCs w:val="20"/>
              </w:rPr>
              <w:t xml:space="preserve">10 / 18</w:t>
            </w:r>
          </w:p>
        </w:tc>
        <w:tc>
          <w:tcPr>
            <w:tcW w:type="dxa" w:w="2600"/>
            <w:tcMar>
              <w:top w:type="dxa" w:w="80"/>
              <w:left w:type="dxa" w:w="120"/>
              <w:bottom w:type="dxa" w:w="80"/>
              <w:right w:type="dxa" w:w="120"/>
            </w:tcMar>
          </w:tcPr>
          <w:p>
            <w:r>
              <w:rPr>
                <w:b w:val="false"/>
                <w:bCs w:val="false"/>
                <w:sz w:val="20"/>
                <w:szCs w:val="20"/>
              </w:rPr>
              <w:t xml:space="preserve">Mixed (one fix, one new gap)</w:t>
            </w:r>
          </w:p>
        </w:tc>
      </w:tr>
      <w:tr>
        <w:tc>
          <w:tcPr>
            <w:tcW w:type="dxa" w:w="4200"/>
            <w:shd w:fill="F7F7F7" w:val="clear"/>
            <w:tcMar>
              <w:top w:type="dxa" w:w="80"/>
              <w:left w:type="dxa" w:w="120"/>
              <w:bottom w:type="dxa" w:w="80"/>
              <w:right w:type="dxa" w:w="120"/>
            </w:tcMar>
          </w:tcPr>
          <w:p>
            <w:r>
              <w:rPr>
                <w:b w:val="false"/>
                <w:bCs w:val="false"/>
                <w:sz w:val="20"/>
                <w:szCs w:val="20"/>
              </w:rPr>
              <w:t xml:space="preserve">Frontend</w:t>
            </w:r>
          </w:p>
        </w:tc>
        <w:tc>
          <w:tcPr>
            <w:tcW w:type="dxa" w:w="1500"/>
            <w:shd w:fill="F7F7F7" w:val="clear"/>
            <w:tcMar>
              <w:top w:type="dxa" w:w="80"/>
              <w:left w:type="dxa" w:w="120"/>
              <w:bottom w:type="dxa" w:w="80"/>
              <w:right w:type="dxa" w:w="120"/>
            </w:tcMar>
          </w:tcPr>
          <w:p>
            <w:r>
              <w:rPr>
                <w:b w:val="false"/>
                <w:bCs w:val="false"/>
                <w:sz w:val="20"/>
                <w:szCs w:val="20"/>
              </w:rPr>
              <w:t xml:space="preserve">16 / 18</w:t>
            </w:r>
          </w:p>
        </w:tc>
        <w:tc>
          <w:tcPr>
            <w:tcW w:type="dxa" w:w="1500"/>
            <w:shd w:fill="F7F7F7" w:val="clear"/>
            <w:tcMar>
              <w:top w:type="dxa" w:w="80"/>
              <w:left w:type="dxa" w:w="120"/>
              <w:bottom w:type="dxa" w:w="80"/>
              <w:right w:type="dxa" w:w="120"/>
            </w:tcMar>
          </w:tcPr>
          <w:p>
            <w:r>
              <w:rPr>
                <w:b w:val="false"/>
                <w:bCs w:val="false"/>
                <w:sz w:val="20"/>
                <w:szCs w:val="20"/>
              </w:rPr>
              <w:t xml:space="preserve">18 / 18</w:t>
            </w:r>
          </w:p>
        </w:tc>
        <w:tc>
          <w:tcPr>
            <w:tcW w:type="dxa" w:w="2600"/>
            <w:shd w:fill="F7F7F7" w:val="clear"/>
            <w:tcMar>
              <w:top w:type="dxa" w:w="80"/>
              <w:left w:type="dxa" w:w="120"/>
              <w:bottom w:type="dxa" w:w="80"/>
              <w:right w:type="dxa" w:w="120"/>
            </w:tcMar>
          </w:tcPr>
          <w:p>
            <w:r>
              <w:rPr>
                <w:b w:val="false"/>
                <w:bCs w:val="false"/>
                <w:sz w:val="20"/>
                <w:szCs w:val="20"/>
              </w:rPr>
              <w:t xml:space="preserve">Resolved</w:t>
            </w:r>
          </w:p>
        </w:tc>
      </w:tr>
      <w:tr>
        <w:tc>
          <w:tcPr>
            <w:tcW w:type="dxa" w:w="4200"/>
            <w:tcMar>
              <w:top w:type="dxa" w:w="80"/>
              <w:left w:type="dxa" w:w="120"/>
              <w:bottom w:type="dxa" w:w="80"/>
              <w:right w:type="dxa" w:w="120"/>
            </w:tcMar>
          </w:tcPr>
          <w:p>
            <w:r>
              <w:rPr>
                <w:b w:val="false"/>
                <w:bCs w:val="false"/>
                <w:sz w:val="20"/>
                <w:szCs w:val="20"/>
              </w:rPr>
              <w:t xml:space="preserve">Documentation &amp; governance</w:t>
            </w:r>
          </w:p>
        </w:tc>
        <w:tc>
          <w:tcPr>
            <w:tcW w:type="dxa" w:w="1500"/>
            <w:tcMar>
              <w:top w:type="dxa" w:w="80"/>
              <w:left w:type="dxa" w:w="120"/>
              <w:bottom w:type="dxa" w:w="80"/>
              <w:right w:type="dxa" w:w="120"/>
            </w:tcMar>
          </w:tcPr>
          <w:p>
            <w:r>
              <w:rPr>
                <w:b w:val="false"/>
                <w:bCs w:val="false"/>
                <w:sz w:val="20"/>
                <w:szCs w:val="20"/>
              </w:rPr>
              <w:t xml:space="preserve">2 / 20</w:t>
            </w:r>
          </w:p>
        </w:tc>
        <w:tc>
          <w:tcPr>
            <w:tcW w:type="dxa" w:w="1500"/>
            <w:tcMar>
              <w:top w:type="dxa" w:w="80"/>
              <w:left w:type="dxa" w:w="120"/>
              <w:bottom w:type="dxa" w:w="80"/>
              <w:right w:type="dxa" w:w="120"/>
            </w:tcMar>
          </w:tcPr>
          <w:p>
            <w:r>
              <w:rPr>
                <w:b w:val="false"/>
                <w:bCs w:val="false"/>
                <w:sz w:val="20"/>
                <w:szCs w:val="20"/>
              </w:rPr>
              <w:t xml:space="preserve">15 / 20</w:t>
            </w:r>
          </w:p>
        </w:tc>
        <w:tc>
          <w:tcPr>
            <w:tcW w:type="dxa" w:w="2600"/>
            <w:tcMar>
              <w:top w:type="dxa" w:w="80"/>
              <w:left w:type="dxa" w:w="120"/>
              <w:bottom w:type="dxa" w:w="80"/>
              <w:right w:type="dxa" w:w="120"/>
            </w:tcMar>
          </w:tcPr>
          <w:p>
            <w:r>
              <w:rPr>
                <w:b w:val="false"/>
                <w:bCs w:val="false"/>
                <w:sz w:val="20"/>
                <w:szCs w:val="20"/>
              </w:rPr>
              <w:t xml:space="preserve">Major improvement, one false claim</w:t>
            </w:r>
          </w:p>
        </w:tc>
      </w:tr>
      <w:tr>
        <w:tc>
          <w:tcPr>
            <w:tcW w:type="dxa" w:w="4200"/>
            <w:shd w:fill="F7F7F7" w:val="clear"/>
            <w:tcMar>
              <w:top w:type="dxa" w:w="80"/>
              <w:left w:type="dxa" w:w="120"/>
              <w:bottom w:type="dxa" w:w="80"/>
              <w:right w:type="dxa" w:w="120"/>
            </w:tcMar>
          </w:tcPr>
          <w:p>
            <w:r>
              <w:rPr>
                <w:b w:val="false"/>
                <w:bCs w:val="false"/>
                <w:sz w:val="20"/>
                <w:szCs w:val="20"/>
              </w:rPr>
              <w:t xml:space="preserve">Testing</w:t>
            </w:r>
          </w:p>
        </w:tc>
        <w:tc>
          <w:tcPr>
            <w:tcW w:type="dxa" w:w="1500"/>
            <w:shd w:fill="F7F7F7" w:val="clear"/>
            <w:tcMar>
              <w:top w:type="dxa" w:w="80"/>
              <w:left w:type="dxa" w:w="120"/>
              <w:bottom w:type="dxa" w:w="80"/>
              <w:right w:type="dxa" w:w="120"/>
            </w:tcMar>
          </w:tcPr>
          <w:p>
            <w:r>
              <w:rPr>
                <w:b w:val="false"/>
                <w:bCs w:val="false"/>
                <w:sz w:val="20"/>
                <w:szCs w:val="20"/>
              </w:rPr>
              <w:t xml:space="preserve">7 / 8</w:t>
            </w:r>
          </w:p>
        </w:tc>
        <w:tc>
          <w:tcPr>
            <w:tcW w:type="dxa" w:w="1500"/>
            <w:shd w:fill="F7F7F7" w:val="clear"/>
            <w:tcMar>
              <w:top w:type="dxa" w:w="80"/>
              <w:left w:type="dxa" w:w="120"/>
              <w:bottom w:type="dxa" w:w="80"/>
              <w:right w:type="dxa" w:w="120"/>
            </w:tcMar>
          </w:tcPr>
          <w:p>
            <w:r>
              <w:rPr>
                <w:b w:val="false"/>
                <w:bCs w:val="false"/>
                <w:sz w:val="20"/>
                <w:szCs w:val="20"/>
              </w:rPr>
              <w:t xml:space="preserve">7 / 8</w:t>
            </w:r>
          </w:p>
        </w:tc>
        <w:tc>
          <w:tcPr>
            <w:tcW w:type="dxa" w:w="2600"/>
            <w:shd w:fill="F7F7F7" w:val="clear"/>
            <w:tcMar>
              <w:top w:type="dxa" w:w="80"/>
              <w:left w:type="dxa" w:w="120"/>
              <w:bottom w:type="dxa" w:w="80"/>
              <w:right w:type="dxa" w:w="120"/>
            </w:tcMar>
          </w:tcPr>
          <w:p>
            <w:r>
              <w:rPr>
                <w:b w:val="false"/>
                <w:bCs w:val="false"/>
                <w:sz w:val="20"/>
                <w:szCs w:val="20"/>
              </w:rPr>
              <w:t xml:space="preserve">Unchanged depth</w:t>
            </w:r>
          </w:p>
        </w:tc>
      </w:tr>
    </w:tbl>
    <w:p>
      <w:pPr>
        <w:pStyle w:val="Heading1"/>
        <w:spacing w:after="160" w:before="360"/>
      </w:pPr>
      <w:r>
        <w:rPr>
          <w:b/>
          <w:bCs/>
        </w:rPr>
        <w:t xml:space="preserve">1. Critical Finding: Token Type Claim Is Not Enforced Where It Matters</w:t>
      </w:r>
    </w:p>
    <w:p>
      <w:pPr>
        <w:spacing w:after="120"/>
      </w:pPr>
      <w:r>
        <w:t xml:space="preserve">You correctly added a type claim ("access" | "refresh") to every token issued by token_helper.py, and you correctly enforce it in POST /api/auth/refresh and POST /api/admin/auth/refresh (verified in auth_service.py and admin_auth_service.py — both check payload.get("type") != "refresh" and reject otherwise).</w:t>
      </w:r>
    </w:p>
    <w:p>
      <w:pPr>
        <w:spacing w:after="120"/>
      </w:pPr>
      <w:r>
        <w:t xml:space="preserve">But app/utils/auth_middleware.py — the file that guards every protected route in the entire platform — never reads the type claim at all. A direct search confirms it:</w:t>
      </w:r>
    </w:p>
    <w:p>
      <w:pPr>
        <w:shd w:fill="F2F2F2" w:val="clear"/>
        <w:spacing w:after="120"/>
      </w:pPr>
      <w:r>
        <w:rPr>
          <w:rFonts w:ascii="Consolas" w:cs="Consolas" w:eastAsia="Consolas" w:hAnsi="Consolas"/>
          <w:sz w:val="19"/>
          <w:szCs w:val="19"/>
        </w:rPr>
        <w:t xml:space="preserve">$ grep -n "type" app/utils/auth_middleware.py
(no matches)</w:t>
      </w:r>
    </w:p>
    <w:p>
      <w:pPr>
        <w:spacing w:after="120"/>
      </w:pPr>
      <w:r>
        <w:t xml:space="preserve">Practical impact: a refresh token (valid for 30 days, normally confined to an httpOnly cookie) will pass @require_auth or @require_admin if sent as a Bearer header, exactly like a real access token. This turns every long-lived refresh token into a de facto 30-day access credential instead of a 15-minute one, for any route in the platform — including all 11 other module teams' protected endpoints once they integrate against your decorators.</w:t>
      </w:r>
    </w:p>
    <w:p>
      <w:pPr>
        <w:spacing w:after="120"/>
      </w:pPr>
      <w:r>
        <w:rPr>
          <w:b/>
          <w:bCs/>
        </w:rPr>
        <w:t xml:space="preserve">This is compounded by a documentation-accuracy problem. The following claims currently exist in your submitted docs and are not true given the code above:</w:t>
      </w:r>
    </w:p>
    <w:p>
      <w:pPr>
        <w:pStyle w:val="ListParagraph"/>
        <w:numPr>
          <w:ilvl w:val="0"/>
          <w:numId w:val="1"/>
        </w:numPr>
        <w:spacing w:after="60"/>
      </w:pPr>
      <w:r>
        <w:t xml:space="preserve">docs/architecture/module-1-architecture.md, section 3.1/3.2: "asserts payload.role == 'customer' and payload.type == 'access'" — the code does not check payload.type.</w:t>
      </w:r>
    </w:p>
    <w:p>
      <w:pPr>
        <w:pStyle w:val="ListParagraph"/>
        <w:numPr>
          <w:ilvl w:val="0"/>
          <w:numId w:val="1"/>
        </w:numPr>
        <w:spacing w:after="60"/>
      </w:pPr>
      <w:r>
        <w:t xml:space="preserve">docs/governance/security-validation.md, section 5: "refresh tokens are blocked at API endpoints requiring Bearer access" — they are not blocked.</w:t>
      </w:r>
    </w:p>
    <w:p>
      <w:pPr>
        <w:pStyle w:val="ListParagraph"/>
        <w:numPr>
          <w:ilvl w:val="0"/>
          <w:numId w:val="1"/>
        </w:numPr>
        <w:spacing w:after="60"/>
      </w:pPr>
      <w:r>
        <w:t xml:space="preserve">docs/governance/final-technical-approval.md: "Token Lifecycle ✓ Approved... type-claim validation fully verified" — this sign-off is not accurate as written.</w:t>
      </w:r>
    </w:p>
    <w:p>
      <w:pPr>
        <w:spacing w:after="120"/>
      </w:pPr>
      <w:r>
        <w:rPr>
          <w:i/>
          <w:iCs/>
          <w:color w:val="666666"/>
        </w:rPr>
        <w:t xml:space="preserve">In strict review mode, a false certification in a governance/approval document is treated as a more serious issue than an honest gap, because the entire purpose of that document is to let the other 11 teams trust your module without re-auditing it themselves. Fix the code first, then correct the documentation to match — never the other way around.</w:t>
      </w:r>
    </w:p>
    <w:p>
      <w:pPr>
        <w:pStyle w:val="Heading1"/>
        <w:spacing w:after="160" w:before="360"/>
      </w:pPr>
      <w:r>
        <w:rPr>
          <w:b/>
          <w:bCs/>
        </w:rPr>
        <w:t xml:space="preserve">2. What Is Now Genuinely Resolved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900"/>
      </w:tblGrid>
      <w:tr>
        <w:tc>
          <w:tcPr>
            <w:tcW w:type="dxa" w:w="3400"/>
            <w:shd w:fill="1F2937" w:val="clear"/>
            <w:tcMar>
              <w:top w:type="dxa" w:w="80"/>
              <w:left w:type="dxa" w:w="120"/>
              <w:bottom w:type="dxa" w:w="80"/>
              <w:right w:type="dxa" w:w="120"/>
            </w:tcMar>
          </w:tcPr>
          <w:p>
            <w:r>
              <w:rPr>
                <w:b/>
                <w:bCs/>
                <w:color w:val="FFFFFF"/>
                <w:sz w:val="20"/>
                <w:szCs w:val="20"/>
              </w:rPr>
              <w:t xml:space="preserve">Item</w:t>
            </w:r>
          </w:p>
        </w:tc>
        <w:tc>
          <w:tcPr>
            <w:tcW w:type="dxa" w:w="1500"/>
            <w:shd w:fill="1F2937" w:val="clear"/>
            <w:tcMar>
              <w:top w:type="dxa" w:w="80"/>
              <w:left w:type="dxa" w:w="120"/>
              <w:bottom w:type="dxa" w:w="80"/>
              <w:right w:type="dxa" w:w="120"/>
            </w:tcMar>
          </w:tcPr>
          <w:p>
            <w:r>
              <w:rPr>
                <w:b/>
                <w:bCs/>
                <w:color w:val="FFFFFF"/>
                <w:sz w:val="20"/>
                <w:szCs w:val="20"/>
              </w:rPr>
              <w:t xml:space="preserve">Status</w:t>
            </w:r>
          </w:p>
        </w:tc>
        <w:tc>
          <w:tcPr>
            <w:tcW w:type="dxa" w:w="4900"/>
            <w:shd w:fill="1F2937" w:val="clear"/>
            <w:tcMar>
              <w:top w:type="dxa" w:w="80"/>
              <w:left w:type="dxa" w:w="120"/>
              <w:bottom w:type="dxa" w:w="80"/>
              <w:right w:type="dxa" w:w="120"/>
            </w:tcMar>
          </w:tcPr>
          <w:p>
            <w:r>
              <w:rPr>
                <w:b/>
                <w:bCs/>
                <w:color w:val="FFFFFF"/>
                <w:sz w:val="20"/>
                <w:szCs w:val="20"/>
              </w:rPr>
              <w:t xml:space="preserve">Note</w:t>
            </w:r>
          </w:p>
        </w:tc>
      </w:tr>
      <w:tr>
        <w:tc>
          <w:tcPr>
            <w:tcW w:type="dxa" w:w="3400"/>
            <w:tcMar>
              <w:top w:type="dxa" w:w="80"/>
              <w:left w:type="dxa" w:w="120"/>
              <w:bottom w:type="dxa" w:w="80"/>
              <w:right w:type="dxa" w:w="120"/>
            </w:tcMar>
          </w:tcPr>
          <w:p>
            <w:r>
              <w:rPr>
                <w:b w:val="false"/>
                <w:bCs w:val="false"/>
                <w:sz w:val="20"/>
                <w:szCs w:val="20"/>
              </w:rPr>
              <w:t xml:space="preserve">app/services/admin_auth_service.py</w:t>
            </w:r>
          </w:p>
        </w:tc>
        <w:tc>
          <w:tcPr>
            <w:tcW w:type="dxa" w:w="1500"/>
            <w:tcMar>
              <w:top w:type="dxa" w:w="80"/>
              <w:left w:type="dxa" w:w="120"/>
              <w:bottom w:type="dxa" w:w="80"/>
              <w:right w:type="dxa" w:w="120"/>
            </w:tcMar>
          </w:tcPr>
          <w:p>
            <w:r>
              <w:rPr>
                <w:b/>
                <w:bCs/>
                <w:color w:val="1E8449"/>
                <w:sz w:val="20"/>
                <w:szCs w:val="20"/>
              </w:rPr>
              <w:t xml:space="preserve">DONE</w:t>
            </w:r>
          </w:p>
        </w:tc>
        <w:tc>
          <w:tcPr>
            <w:tcW w:type="dxa" w:w="4900"/>
            <w:tcMar>
              <w:top w:type="dxa" w:w="80"/>
              <w:left w:type="dxa" w:w="120"/>
              <w:bottom w:type="dxa" w:w="80"/>
              <w:right w:type="dxa" w:w="120"/>
            </w:tcMar>
          </w:tcPr>
          <w:p>
            <w:r>
              <w:rPr>
                <w:b w:val="false"/>
                <w:bCs w:val="false"/>
                <w:sz w:val="20"/>
                <w:szCs w:val="20"/>
              </w:rPr>
              <w:t xml:space="preserve">Created; admin login/refresh logic correctly moved out of the route file.</w:t>
            </w:r>
          </w:p>
        </w:tc>
      </w:tr>
      <w:tr>
        <w:tc>
          <w:tcPr>
            <w:tcW w:type="dxa" w:w="3400"/>
            <w:tcMar>
              <w:top w:type="dxa" w:w="80"/>
              <w:left w:type="dxa" w:w="120"/>
              <w:bottom w:type="dxa" w:w="80"/>
              <w:right w:type="dxa" w:w="120"/>
            </w:tcMar>
          </w:tcPr>
          <w:p>
            <w:r>
              <w:rPr>
                <w:b w:val="false"/>
                <w:bCs w:val="false"/>
                <w:sz w:val="20"/>
                <w:szCs w:val="20"/>
              </w:rPr>
              <w:t xml:space="preserve">app/services/user_service.py</w:t>
            </w:r>
          </w:p>
        </w:tc>
        <w:tc>
          <w:tcPr>
            <w:tcW w:type="dxa" w:w="1500"/>
            <w:tcMar>
              <w:top w:type="dxa" w:w="80"/>
              <w:left w:type="dxa" w:w="120"/>
              <w:bottom w:type="dxa" w:w="80"/>
              <w:right w:type="dxa" w:w="120"/>
            </w:tcMar>
          </w:tcPr>
          <w:p>
            <w:r>
              <w:rPr>
                <w:b/>
                <w:bCs/>
                <w:color w:val="1E8449"/>
                <w:sz w:val="20"/>
                <w:szCs w:val="20"/>
              </w:rPr>
              <w:t xml:space="preserve">DONE</w:t>
            </w:r>
          </w:p>
        </w:tc>
        <w:tc>
          <w:tcPr>
            <w:tcW w:type="dxa" w:w="4900"/>
            <w:tcMar>
              <w:top w:type="dxa" w:w="80"/>
              <w:left w:type="dxa" w:w="120"/>
              <w:bottom w:type="dxa" w:w="80"/>
              <w:right w:type="dxa" w:w="120"/>
            </w:tcMar>
          </w:tcPr>
          <w:p>
            <w:r>
              <w:rPr>
                <w:b w:val="false"/>
                <w:bCs w:val="false"/>
                <w:sz w:val="20"/>
                <w:szCs w:val="20"/>
              </w:rPr>
              <w:t xml:space="preserve">Created with get_profile() and get_public_profile(); matches the 'Don't Duplicate User Lookups' contract.</w:t>
            </w:r>
          </w:p>
        </w:tc>
      </w:tr>
      <w:tr>
        <w:tc>
          <w:tcPr>
            <w:tcW w:type="dxa" w:w="3400"/>
            <w:tcMar>
              <w:top w:type="dxa" w:w="80"/>
              <w:left w:type="dxa" w:w="120"/>
              <w:bottom w:type="dxa" w:w="80"/>
              <w:right w:type="dxa" w:w="120"/>
            </w:tcMar>
          </w:tcPr>
          <w:p>
            <w:r>
              <w:rPr>
                <w:b w:val="false"/>
                <w:bCs w:val="false"/>
                <w:sz w:val="20"/>
                <w:szCs w:val="20"/>
              </w:rPr>
              <w:t xml:space="preserve">app/models/address.py</w:t>
            </w:r>
          </w:p>
        </w:tc>
        <w:tc>
          <w:tcPr>
            <w:tcW w:type="dxa" w:w="1500"/>
            <w:tcMar>
              <w:top w:type="dxa" w:w="80"/>
              <w:left w:type="dxa" w:w="120"/>
              <w:bottom w:type="dxa" w:w="80"/>
              <w:right w:type="dxa" w:w="120"/>
            </w:tcMar>
          </w:tcPr>
          <w:p>
            <w:r>
              <w:rPr>
                <w:b/>
                <w:bCs/>
                <w:color w:val="1E8449"/>
                <w:sz w:val="20"/>
                <w:szCs w:val="20"/>
              </w:rPr>
              <w:t xml:space="preserve">DONE</w:t>
            </w:r>
          </w:p>
        </w:tc>
        <w:tc>
          <w:tcPr>
            <w:tcW w:type="dxa" w:w="4900"/>
            <w:tcMar>
              <w:top w:type="dxa" w:w="80"/>
              <w:left w:type="dxa" w:w="120"/>
              <w:bottom w:type="dxa" w:w="80"/>
              <w:right w:type="dxa" w:w="120"/>
            </w:tcMar>
          </w:tcPr>
          <w:p>
            <w:r>
              <w:rPr>
                <w:b w:val="false"/>
                <w:bCs w:val="false"/>
                <w:sz w:val="20"/>
                <w:szCs w:val="20"/>
              </w:rPr>
              <w:t xml:space="preserve">Address subdocument model added with create_document / to_dict.</w:t>
            </w:r>
          </w:p>
        </w:tc>
      </w:tr>
      <w:tr>
        <w:tc>
          <w:tcPr>
            <w:tcW w:type="dxa" w:w="3400"/>
            <w:tcMar>
              <w:top w:type="dxa" w:w="80"/>
              <w:left w:type="dxa" w:w="120"/>
              <w:bottom w:type="dxa" w:w="80"/>
              <w:right w:type="dxa" w:w="120"/>
            </w:tcMar>
          </w:tcPr>
          <w:p>
            <w:r>
              <w:rPr>
                <w:b w:val="false"/>
                <w:bCs w:val="false"/>
                <w:sz w:val="20"/>
                <w:szCs w:val="20"/>
              </w:rPr>
              <w:t xml:space="preserve">Admin token storage (sessionStorage → memory)</w:t>
            </w:r>
          </w:p>
        </w:tc>
        <w:tc>
          <w:tcPr>
            <w:tcW w:type="dxa" w:w="1500"/>
            <w:tcMar>
              <w:top w:type="dxa" w:w="80"/>
              <w:left w:type="dxa" w:w="120"/>
              <w:bottom w:type="dxa" w:w="80"/>
              <w:right w:type="dxa" w:w="120"/>
            </w:tcMar>
          </w:tcPr>
          <w:p>
            <w:r>
              <w:rPr>
                <w:b/>
                <w:bCs/>
                <w:color w:val="1E8449"/>
                <w:sz w:val="20"/>
                <w:szCs w:val="20"/>
              </w:rPr>
              <w:t xml:space="preserve">DONE</w:t>
            </w:r>
          </w:p>
        </w:tc>
        <w:tc>
          <w:tcPr>
            <w:tcW w:type="dxa" w:w="4900"/>
            <w:tcMar>
              <w:top w:type="dxa" w:w="80"/>
              <w:left w:type="dxa" w:w="120"/>
              <w:bottom w:type="dxa" w:w="80"/>
              <w:right w:type="dxa" w:w="120"/>
            </w:tcMar>
          </w:tcPr>
          <w:p>
            <w:r>
              <w:rPr>
                <w:b w:val="false"/>
                <w:bCs w:val="false"/>
                <w:sz w:val="20"/>
                <w:szCs w:val="20"/>
              </w:rPr>
              <w:t xml:space="preserve">New AdminAuthContext + AdminGuard, fully separate instance from customer AuthContext, exactly per the frozen contract.</w:t>
            </w:r>
          </w:p>
        </w:tc>
      </w:tr>
      <w:tr>
        <w:tc>
          <w:tcPr>
            <w:tcW w:type="dxa" w:w="3400"/>
            <w:tcMar>
              <w:top w:type="dxa" w:w="80"/>
              <w:left w:type="dxa" w:w="120"/>
              <w:bottom w:type="dxa" w:w="80"/>
              <w:right w:type="dxa" w:w="120"/>
            </w:tcMar>
          </w:tcPr>
          <w:p>
            <w:r>
              <w:rPr>
                <w:b w:val="false"/>
                <w:bCs w:val="false"/>
                <w:sz w:val="20"/>
                <w:szCs w:val="20"/>
              </w:rPr>
              <w:t xml:space="preserve">POST /api/admin/auth/refresh</w:t>
            </w:r>
          </w:p>
        </w:tc>
        <w:tc>
          <w:tcPr>
            <w:tcW w:type="dxa" w:w="1500"/>
            <w:tcMar>
              <w:top w:type="dxa" w:w="80"/>
              <w:left w:type="dxa" w:w="120"/>
              <w:bottom w:type="dxa" w:w="80"/>
              <w:right w:type="dxa" w:w="120"/>
            </w:tcMar>
          </w:tcPr>
          <w:p>
            <w:r>
              <w:rPr>
                <w:b/>
                <w:bCs/>
                <w:color w:val="1E8449"/>
                <w:sz w:val="20"/>
                <w:szCs w:val="20"/>
              </w:rPr>
              <w:t xml:space="preserve">DONE</w:t>
            </w:r>
          </w:p>
        </w:tc>
        <w:tc>
          <w:tcPr>
            <w:tcW w:type="dxa" w:w="4900"/>
            <w:tcMar>
              <w:top w:type="dxa" w:w="80"/>
              <w:left w:type="dxa" w:w="120"/>
              <w:bottom w:type="dxa" w:w="80"/>
              <w:right w:type="dxa" w:w="120"/>
            </w:tcMar>
          </w:tcPr>
          <w:p>
            <w:r>
              <w:rPr>
                <w:b w:val="false"/>
                <w:bCs w:val="false"/>
                <w:sz w:val="20"/>
                <w:szCs w:val="20"/>
              </w:rPr>
              <w:t xml:space="preserve">Implemented; the previously dead admin_refresh_token cookie is now consumed correctly.</w:t>
            </w:r>
          </w:p>
        </w:tc>
      </w:tr>
      <w:tr>
        <w:tc>
          <w:tcPr>
            <w:tcW w:type="dxa" w:w="3400"/>
            <w:tcMar>
              <w:top w:type="dxa" w:w="80"/>
              <w:left w:type="dxa" w:w="120"/>
              <w:bottom w:type="dxa" w:w="80"/>
              <w:right w:type="dxa" w:w="120"/>
            </w:tcMar>
          </w:tcPr>
          <w:p>
            <w:r>
              <w:rPr>
                <w:b w:val="false"/>
                <w:bCs w:val="false"/>
                <w:sz w:val="20"/>
                <w:szCs w:val="20"/>
              </w:rPr>
              <w:t xml:space="preserve">Out-of-scope pages removed</w:t>
            </w:r>
          </w:p>
        </w:tc>
        <w:tc>
          <w:tcPr>
            <w:tcW w:type="dxa" w:w="1500"/>
            <w:tcMar>
              <w:top w:type="dxa" w:w="80"/>
              <w:left w:type="dxa" w:w="120"/>
              <w:bottom w:type="dxa" w:w="80"/>
              <w:right w:type="dxa" w:w="120"/>
            </w:tcMar>
          </w:tcPr>
          <w:p>
            <w:r>
              <w:rPr>
                <w:b/>
                <w:bCs/>
                <w:color w:val="1E8449"/>
                <w:sz w:val="20"/>
                <w:szCs w:val="20"/>
              </w:rPr>
              <w:t xml:space="preserve">DONE</w:t>
            </w:r>
          </w:p>
        </w:tc>
        <w:tc>
          <w:tcPr>
            <w:tcW w:type="dxa" w:w="4900"/>
            <w:tcMar>
              <w:top w:type="dxa" w:w="80"/>
              <w:left w:type="dxa" w:w="120"/>
              <w:bottom w:type="dxa" w:w="80"/>
              <w:right w:type="dxa" w:w="120"/>
            </w:tcMar>
          </w:tcPr>
          <w:p>
            <w:r>
              <w:rPr>
                <w:b w:val="false"/>
                <w:bCs w:val="false"/>
                <w:sz w:val="20"/>
                <w:szCs w:val="20"/>
              </w:rPr>
              <w:t xml:space="preserve">/account/profile, /account/addresses, /forgot-password, /reset-password frontend pages removed.</w:t>
            </w:r>
          </w:p>
        </w:tc>
      </w:tr>
      <w:tr>
        <w:tc>
          <w:tcPr>
            <w:tcW w:type="dxa" w:w="3400"/>
            <w:tcMar>
              <w:top w:type="dxa" w:w="80"/>
              <w:left w:type="dxa" w:w="120"/>
              <w:bottom w:type="dxa" w:w="80"/>
              <w:right w:type="dxa" w:w="120"/>
            </w:tcMar>
          </w:tcPr>
          <w:p>
            <w:r>
              <w:rPr>
                <w:b w:val="false"/>
                <w:bCs w:val="false"/>
                <w:sz w:val="20"/>
                <w:szCs w:val="20"/>
              </w:rPr>
              <w:t xml:space="preserve">lib/validators.ts ownership</w:t>
            </w:r>
          </w:p>
        </w:tc>
        <w:tc>
          <w:tcPr>
            <w:tcW w:type="dxa" w:w="1500"/>
            <w:tcMar>
              <w:top w:type="dxa" w:w="80"/>
              <w:left w:type="dxa" w:w="120"/>
              <w:bottom w:type="dxa" w:w="80"/>
              <w:right w:type="dxa" w:w="120"/>
            </w:tcMar>
          </w:tcPr>
          <w:p>
            <w:r>
              <w:rPr>
                <w:b/>
                <w:bCs/>
                <w:color w:val="1E8449"/>
                <w:sz w:val="20"/>
                <w:szCs w:val="20"/>
              </w:rPr>
              <w:t xml:space="preserve">DONE</w:t>
            </w:r>
          </w:p>
        </w:tc>
        <w:tc>
          <w:tcPr>
            <w:tcW w:type="dxa" w:w="4900"/>
            <w:tcMar>
              <w:top w:type="dxa" w:w="80"/>
              <w:left w:type="dxa" w:w="120"/>
              <w:bottom w:type="dxa" w:w="80"/>
              <w:right w:type="dxa" w:w="120"/>
            </w:tcMar>
          </w:tcPr>
          <w:p>
            <w:r>
              <w:rPr>
                <w:b w:val="false"/>
                <w:bCs w:val="false"/>
                <w:sz w:val="20"/>
                <w:szCs w:val="20"/>
              </w:rPr>
              <w:t xml:space="preserve">Explicitly commented as a temporary placeholder owned by in3.</w:t>
            </w:r>
          </w:p>
        </w:tc>
      </w:tr>
      <w:tr>
        <w:tc>
          <w:tcPr>
            <w:tcW w:type="dxa" w:w="3400"/>
            <w:tcMar>
              <w:top w:type="dxa" w:w="80"/>
              <w:left w:type="dxa" w:w="120"/>
              <w:bottom w:type="dxa" w:w="80"/>
              <w:right w:type="dxa" w:w="120"/>
            </w:tcMar>
          </w:tcPr>
          <w:p>
            <w:r>
              <w:rPr>
                <w:b w:val="false"/>
                <w:bCs w:val="false"/>
                <w:sz w:val="20"/>
                <w:szCs w:val="20"/>
              </w:rPr>
              <w:t xml:space="preserve">(account) vs account ambiguity</w:t>
            </w:r>
          </w:p>
        </w:tc>
        <w:tc>
          <w:tcPr>
            <w:tcW w:type="dxa" w:w="1500"/>
            <w:tcMar>
              <w:top w:type="dxa" w:w="80"/>
              <w:left w:type="dxa" w:w="120"/>
              <w:bottom w:type="dxa" w:w="80"/>
              <w:right w:type="dxa" w:w="120"/>
            </w:tcMar>
          </w:tcPr>
          <w:p>
            <w:r>
              <w:rPr>
                <w:b/>
                <w:bCs/>
                <w:color w:val="1E8449"/>
                <w:sz w:val="20"/>
                <w:szCs w:val="20"/>
              </w:rPr>
              <w:t xml:space="preserve">DONE</w:t>
            </w:r>
          </w:p>
        </w:tc>
        <w:tc>
          <w:tcPr>
            <w:tcW w:type="dxa" w:w="4900"/>
            <w:tcMar>
              <w:top w:type="dxa" w:w="80"/>
              <w:left w:type="dxa" w:w="120"/>
              <w:bottom w:type="dxa" w:w="80"/>
              <w:right w:type="dxa" w:w="120"/>
            </w:tcMar>
          </w:tcPr>
          <w:p>
            <w:r>
              <w:rPr>
                <w:b w:val="false"/>
                <w:bCs w:val="false"/>
                <w:sz w:val="20"/>
                <w:szCs w:val="20"/>
              </w:rPr>
              <w:t xml:space="preserve">Explicitly resolved and documented with reasoning in the architecture doc.</w:t>
            </w:r>
          </w:p>
        </w:tc>
      </w:tr>
      <w:tr>
        <w:tc>
          <w:tcPr>
            <w:tcW w:type="dxa" w:w="3400"/>
            <w:tcMar>
              <w:top w:type="dxa" w:w="80"/>
              <w:left w:type="dxa" w:w="120"/>
              <w:bottom w:type="dxa" w:w="80"/>
              <w:right w:type="dxa" w:w="120"/>
            </w:tcMar>
          </w:tcPr>
          <w:p>
            <w:r>
              <w:rPr>
                <w:b w:val="false"/>
                <w:bCs w:val="false"/>
                <w:sz w:val="20"/>
                <w:szCs w:val="20"/>
              </w:rPr>
              <w:t xml:space="preserve">docs/architecture/, docs/api-contracts/, docs/governance/*</w:t>
            </w:r>
          </w:p>
        </w:tc>
        <w:tc>
          <w:tcPr>
            <w:tcW w:type="dxa" w:w="1500"/>
            <w:tcMar>
              <w:top w:type="dxa" w:w="80"/>
              <w:left w:type="dxa" w:w="120"/>
              <w:bottom w:type="dxa" w:w="80"/>
              <w:right w:type="dxa" w:w="120"/>
            </w:tcMar>
          </w:tcPr>
          <w:p>
            <w:r>
              <w:rPr>
                <w:b/>
                <w:bCs/>
                <w:color w:val="1E8449"/>
                <w:sz w:val="20"/>
                <w:szCs w:val="20"/>
              </w:rPr>
              <w:t xml:space="preserve">DONE</w:t>
            </w:r>
          </w:p>
        </w:tc>
        <w:tc>
          <w:tcPr>
            <w:tcW w:type="dxa" w:w="4900"/>
            <w:tcMar>
              <w:top w:type="dxa" w:w="80"/>
              <w:left w:type="dxa" w:w="120"/>
              <w:bottom w:type="dxa" w:w="80"/>
              <w:right w:type="dxa" w:w="120"/>
            </w:tcMar>
          </w:tcPr>
          <w:p>
            <w:r>
              <w:rPr>
                <w:b w:val="false"/>
                <w:bCs w:val="false"/>
                <w:sz w:val="20"/>
                <w:szCs w:val="20"/>
              </w:rPr>
              <w:t xml:space="preserve">All 7 previously-missing deliverables authored.</w:t>
            </w:r>
          </w:p>
        </w:tc>
      </w:tr>
    </w:tbl>
    <w:p>
      <w:pPr>
        <w:pStyle w:val="Heading1"/>
        <w:spacing w:after="160" w:before="360"/>
      </w:pPr>
      <w:r>
        <w:rPr>
          <w:b/>
          <w:bCs/>
        </w:rPr>
        <w:t xml:space="preserve">3. Remaining Gaps to Reach 100%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900"/>
      </w:tblGrid>
      <w:tr>
        <w:tc>
          <w:tcPr>
            <w:tcW w:type="dxa" w:w="3400"/>
            <w:shd w:fill="1F2937" w:val="clear"/>
            <w:tcMar>
              <w:top w:type="dxa" w:w="80"/>
              <w:left w:type="dxa" w:w="120"/>
              <w:bottom w:type="dxa" w:w="80"/>
              <w:right w:type="dxa" w:w="120"/>
            </w:tcMar>
          </w:tcPr>
          <w:p>
            <w:r>
              <w:rPr>
                <w:b/>
                <w:bCs/>
                <w:color w:val="FFFFFF"/>
                <w:sz w:val="20"/>
                <w:szCs w:val="20"/>
              </w:rPr>
              <w:t xml:space="preserve">Item</w:t>
            </w:r>
          </w:p>
        </w:tc>
        <w:tc>
          <w:tcPr>
            <w:tcW w:type="dxa" w:w="1500"/>
            <w:shd w:fill="1F2937" w:val="clear"/>
            <w:tcMar>
              <w:top w:type="dxa" w:w="80"/>
              <w:left w:type="dxa" w:w="120"/>
              <w:bottom w:type="dxa" w:w="80"/>
              <w:right w:type="dxa" w:w="120"/>
            </w:tcMar>
          </w:tcPr>
          <w:p>
            <w:r>
              <w:rPr>
                <w:b/>
                <w:bCs/>
                <w:color w:val="FFFFFF"/>
                <w:sz w:val="20"/>
                <w:szCs w:val="20"/>
              </w:rPr>
              <w:t xml:space="preserve">Status</w:t>
            </w:r>
          </w:p>
        </w:tc>
        <w:tc>
          <w:tcPr>
            <w:tcW w:type="dxa" w:w="4900"/>
            <w:shd w:fill="1F2937" w:val="clear"/>
            <w:tcMar>
              <w:top w:type="dxa" w:w="80"/>
              <w:left w:type="dxa" w:w="120"/>
              <w:bottom w:type="dxa" w:w="80"/>
              <w:right w:type="dxa" w:w="120"/>
            </w:tcMar>
          </w:tcPr>
          <w:p>
            <w:r>
              <w:rPr>
                <w:b/>
                <w:bCs/>
                <w:color w:val="FFFFFF"/>
                <w:sz w:val="20"/>
                <w:szCs w:val="20"/>
              </w:rPr>
              <w:t xml:space="preserve">Note</w:t>
            </w:r>
          </w:p>
        </w:tc>
      </w:tr>
      <w:tr>
        <w:tc>
          <w:tcPr>
            <w:tcW w:type="dxa" w:w="3400"/>
            <w:tcMar>
              <w:top w:type="dxa" w:w="80"/>
              <w:left w:type="dxa" w:w="120"/>
              <w:bottom w:type="dxa" w:w="80"/>
              <w:right w:type="dxa" w:w="120"/>
            </w:tcMar>
          </w:tcPr>
          <w:p>
            <w:r>
              <w:rPr>
                <w:b w:val="false"/>
                <w:bCs w:val="false"/>
                <w:sz w:val="20"/>
                <w:szCs w:val="20"/>
              </w:rPr>
              <w:t xml:space="preserve">auth_middleware.py type enforcement</w:t>
            </w:r>
          </w:p>
        </w:tc>
        <w:tc>
          <w:tcPr>
            <w:tcW w:type="dxa" w:w="1500"/>
            <w:tcMar>
              <w:top w:type="dxa" w:w="80"/>
              <w:left w:type="dxa" w:w="120"/>
              <w:bottom w:type="dxa" w:w="80"/>
              <w:right w:type="dxa" w:w="120"/>
            </w:tcMar>
          </w:tcPr>
          <w:p>
            <w:r>
              <w:rPr>
                <w:b/>
                <w:bCs/>
                <w:color w:val="C0392B"/>
                <w:sz w:val="20"/>
                <w:szCs w:val="20"/>
              </w:rPr>
              <w:t xml:space="preserve">CRITICAL</w:t>
            </w:r>
          </w:p>
        </w:tc>
        <w:tc>
          <w:tcPr>
            <w:tcW w:type="dxa" w:w="4900"/>
            <w:tcMar>
              <w:top w:type="dxa" w:w="80"/>
              <w:left w:type="dxa" w:w="120"/>
              <w:bottom w:type="dxa" w:w="80"/>
              <w:right w:type="dxa" w:w="120"/>
            </w:tcMar>
          </w:tcPr>
          <w:p>
            <w:r>
              <w:rPr>
                <w:b w:val="false"/>
                <w:bCs w:val="false"/>
                <w:sz w:val="20"/>
                <w:szCs w:val="20"/>
              </w:rPr>
              <w:t xml:space="preserve">@require_auth / @require_admin must reject any token where type != 'access'.</w:t>
            </w:r>
          </w:p>
        </w:tc>
      </w:tr>
      <w:tr>
        <w:tc>
          <w:tcPr>
            <w:tcW w:type="dxa" w:w="3400"/>
            <w:tcMar>
              <w:top w:type="dxa" w:w="80"/>
              <w:left w:type="dxa" w:w="120"/>
              <w:bottom w:type="dxa" w:w="80"/>
              <w:right w:type="dxa" w:w="120"/>
            </w:tcMar>
          </w:tcPr>
          <w:p>
            <w:r>
              <w:rPr>
                <w:b w:val="false"/>
                <w:bCs w:val="false"/>
                <w:sz w:val="20"/>
                <w:szCs w:val="20"/>
              </w:rPr>
              <w:t xml:space="preserve">Governance doc accuracy</w:t>
            </w:r>
          </w:p>
        </w:tc>
        <w:tc>
          <w:tcPr>
            <w:tcW w:type="dxa" w:w="1500"/>
            <w:tcMar>
              <w:top w:type="dxa" w:w="80"/>
              <w:left w:type="dxa" w:w="120"/>
              <w:bottom w:type="dxa" w:w="80"/>
              <w:right w:type="dxa" w:w="120"/>
            </w:tcMar>
          </w:tcPr>
          <w:p>
            <w:r>
              <w:rPr>
                <w:b/>
                <w:bCs/>
                <w:color w:val="C0392B"/>
                <w:sz w:val="20"/>
                <w:szCs w:val="20"/>
              </w:rPr>
              <w:t xml:space="preserve">CRITICAL</w:t>
            </w:r>
          </w:p>
        </w:tc>
        <w:tc>
          <w:tcPr>
            <w:tcW w:type="dxa" w:w="4900"/>
            <w:tcMar>
              <w:top w:type="dxa" w:w="80"/>
              <w:left w:type="dxa" w:w="120"/>
              <w:bottom w:type="dxa" w:w="80"/>
              <w:right w:type="dxa" w:w="120"/>
            </w:tcMar>
          </w:tcPr>
          <w:p>
            <w:r>
              <w:rPr>
                <w:b w:val="false"/>
                <w:bCs w:val="false"/>
                <w:sz w:val="20"/>
                <w:szCs w:val="20"/>
              </w:rPr>
              <w:t xml:space="preserve">security-validation.md and final-technical-approval.md must be corrected to match reality once the fix above lands — do not leave the current false claims in place even temporarily.</w:t>
            </w:r>
          </w:p>
        </w:tc>
      </w:tr>
      <w:tr>
        <w:tc>
          <w:tcPr>
            <w:tcW w:type="dxa" w:w="3400"/>
            <w:tcMar>
              <w:top w:type="dxa" w:w="80"/>
              <w:left w:type="dxa" w:w="120"/>
              <w:bottom w:type="dxa" w:w="80"/>
              <w:right w:type="dxa" w:w="120"/>
            </w:tcMar>
          </w:tcPr>
          <w:p>
            <w:r>
              <w:rPr>
                <w:b w:val="false"/>
                <w:bCs w:val="false"/>
                <w:sz w:val="20"/>
                <w:szCs w:val="20"/>
              </w:rPr>
              <w:t xml:space="preserve">Test coverage for the real vulnerability</w:t>
            </w:r>
          </w:p>
        </w:tc>
        <w:tc>
          <w:tcPr>
            <w:tcW w:type="dxa" w:w="1500"/>
            <w:tcMar>
              <w:top w:type="dxa" w:w="80"/>
              <w:left w:type="dxa" w:w="120"/>
              <w:bottom w:type="dxa" w:w="80"/>
              <w:right w:type="dxa" w:w="120"/>
            </w:tcMar>
          </w:tcPr>
          <w:p>
            <w:r>
              <w:rPr>
                <w:b/>
                <w:bCs/>
                <w:color w:val="C0392B"/>
                <w:sz w:val="20"/>
                <w:szCs w:val="20"/>
              </w:rPr>
              <w:t xml:space="preserve">OPEN</w:t>
            </w:r>
          </w:p>
        </w:tc>
        <w:tc>
          <w:tcPr>
            <w:tcW w:type="dxa" w:w="4900"/>
            <w:tcMar>
              <w:top w:type="dxa" w:w="80"/>
              <w:left w:type="dxa" w:w="120"/>
              <w:bottom w:type="dxa" w:w="80"/>
              <w:right w:type="dxa" w:w="120"/>
            </w:tcMar>
          </w:tcPr>
          <w:p>
            <w:r>
              <w:rPr>
                <w:b w:val="false"/>
                <w:bCs w:val="false"/>
                <w:sz w:val="20"/>
                <w:szCs w:val="20"/>
              </w:rPr>
              <w:t xml:space="preserve">test_token_type_mismatch_refresh only tests the refresh endpoint rejecting an access token. No test proves a refresh token is rejected by @require_auth/@require_admin — the actually-broken direction.</w:t>
            </w:r>
          </w:p>
        </w:tc>
      </w:tr>
      <w:tr>
        <w:tc>
          <w:tcPr>
            <w:tcW w:type="dxa" w:w="3400"/>
            <w:tcMar>
              <w:top w:type="dxa" w:w="80"/>
              <w:left w:type="dxa" w:w="120"/>
              <w:bottom w:type="dxa" w:w="80"/>
              <w:right w:type="dxa" w:w="120"/>
            </w:tcMar>
          </w:tcPr>
          <w:p>
            <w:r>
              <w:rPr>
                <w:b w:val="false"/>
                <w:bCs w:val="false"/>
                <w:sz w:val="20"/>
                <w:szCs w:val="20"/>
              </w:rPr>
              <w:t xml:space="preserve">Error contract on 2 remaining endpoints</w:t>
            </w:r>
          </w:p>
        </w:tc>
        <w:tc>
          <w:tcPr>
            <w:tcW w:type="dxa" w:w="1500"/>
            <w:tcMar>
              <w:top w:type="dxa" w:w="80"/>
              <w:left w:type="dxa" w:w="120"/>
              <w:bottom w:type="dxa" w:w="80"/>
              <w:right w:type="dxa" w:w="120"/>
            </w:tcMar>
          </w:tcPr>
          <w:p>
            <w:r>
              <w:rPr>
                <w:b/>
                <w:bCs/>
                <w:color w:val="B9770E"/>
                <w:sz w:val="20"/>
                <w:szCs w:val="20"/>
              </w:rPr>
              <w:t xml:space="preserve">PARTIAL</w:t>
            </w:r>
          </w:p>
        </w:tc>
        <w:tc>
          <w:tcPr>
            <w:tcW w:type="dxa" w:w="4900"/>
            <w:tcMar>
              <w:top w:type="dxa" w:w="80"/>
              <w:left w:type="dxa" w:w="120"/>
              <w:bottom w:type="dxa" w:w="80"/>
              <w:right w:type="dxa" w:w="120"/>
            </w:tcMar>
          </w:tcPr>
          <w:p>
            <w:r>
              <w:rPr>
                <w:b w:val="false"/>
                <w:bCs w:val="false"/>
                <w:sz w:val="20"/>
                <w:szCs w:val="20"/>
              </w:rPr>
              <w:t xml:space="preserve">POST /api/auth/login's early 'Email is required' (400) and its 429 rate-limit response still omit "errors": {}.</w:t>
            </w:r>
          </w:p>
        </w:tc>
      </w:tr>
      <w:tr>
        <w:tc>
          <w:tcPr>
            <w:tcW w:type="dxa" w:w="3400"/>
            <w:tcMar>
              <w:top w:type="dxa" w:w="80"/>
              <w:left w:type="dxa" w:w="120"/>
              <w:bottom w:type="dxa" w:w="80"/>
              <w:right w:type="dxa" w:w="120"/>
            </w:tcMar>
          </w:tcPr>
          <w:p>
            <w:r>
              <w:rPr>
                <w:b w:val="false"/>
                <w:bCs w:val="false"/>
                <w:sz w:val="20"/>
                <w:szCs w:val="20"/>
              </w:rPr>
              <w:t xml:space="preserve">Dead imports in admin_auth_routes.py</w:t>
            </w:r>
          </w:p>
        </w:tc>
        <w:tc>
          <w:tcPr>
            <w:tcW w:type="dxa" w:w="1500"/>
            <w:tcMar>
              <w:top w:type="dxa" w:w="80"/>
              <w:left w:type="dxa" w:w="120"/>
              <w:bottom w:type="dxa" w:w="80"/>
              <w:right w:type="dxa" w:w="120"/>
            </w:tcMar>
          </w:tcPr>
          <w:p>
            <w:r>
              <w:rPr>
                <w:b/>
                <w:bCs/>
                <w:color w:val="B9770E"/>
                <w:sz w:val="20"/>
                <w:szCs w:val="20"/>
              </w:rPr>
              <w:t xml:space="preserve">PARTIAL</w:t>
            </w:r>
          </w:p>
        </w:tc>
        <w:tc>
          <w:tcPr>
            <w:tcW w:type="dxa" w:w="4900"/>
            <w:tcMar>
              <w:top w:type="dxa" w:w="80"/>
              <w:left w:type="dxa" w:w="120"/>
              <w:bottom w:type="dxa" w:w="80"/>
              <w:right w:type="dxa" w:w="120"/>
            </w:tcMar>
          </w:tcPr>
          <w:p>
            <w:r>
              <w:rPr>
                <w:b w:val="false"/>
                <w:bCs w:val="false"/>
                <w:sz w:val="20"/>
                <w:szCs w:val="20"/>
              </w:rPr>
              <w:t xml:space="preserve">generate_access_token, generate_refresh_token, verify_password, get_db are now unused there since logic moved to AdminAuthService — remove them.</w:t>
            </w:r>
          </w:p>
        </w:tc>
      </w:tr>
      <w:tr>
        <w:tc>
          <w:tcPr>
            <w:tcW w:type="dxa" w:w="3400"/>
            <w:tcMar>
              <w:top w:type="dxa" w:w="80"/>
              <w:left w:type="dxa" w:w="120"/>
              <w:bottom w:type="dxa" w:w="80"/>
              <w:right w:type="dxa" w:w="120"/>
            </w:tcMar>
          </w:tcPr>
          <w:p>
            <w:r>
              <w:rPr>
                <w:b w:val="false"/>
                <w:bCs w:val="false"/>
                <w:sz w:val="20"/>
                <w:szCs w:val="20"/>
              </w:rPr>
              <w:t xml:space="preserve">Unverified 'Production Build Check' claim</w:t>
            </w:r>
          </w:p>
        </w:tc>
        <w:tc>
          <w:tcPr>
            <w:tcW w:type="dxa" w:w="1500"/>
            <w:tcMar>
              <w:top w:type="dxa" w:w="80"/>
              <w:left w:type="dxa" w:w="120"/>
              <w:bottom w:type="dxa" w:w="80"/>
              <w:right w:type="dxa" w:w="120"/>
            </w:tcMar>
          </w:tcPr>
          <w:p>
            <w:r>
              <w:rPr>
                <w:b/>
                <w:bCs/>
                <w:color w:val="B9770E"/>
                <w:sz w:val="20"/>
                <w:szCs w:val="20"/>
              </w:rPr>
              <w:t xml:space="preserve">PARTIAL</w:t>
            </w:r>
          </w:p>
        </w:tc>
        <w:tc>
          <w:tcPr>
            <w:tcW w:type="dxa" w:w="4900"/>
            <w:tcMar>
              <w:top w:type="dxa" w:w="80"/>
              <w:left w:type="dxa" w:w="120"/>
              <w:bottom w:type="dxa" w:w="80"/>
              <w:right w:type="dxa" w:w="120"/>
            </w:tcMar>
          </w:tcPr>
          <w:p>
            <w:r>
              <w:rPr>
                <w:b w:val="false"/>
                <w:bCs w:val="false"/>
                <w:sz w:val="20"/>
                <w:szCs w:val="20"/>
              </w:rPr>
              <w:t xml:space="preserve">final-technical-approval.md asserts a clean Next.js build with no attached build log/output as evidence.</w:t>
            </w:r>
          </w:p>
        </w:tc>
      </w:tr>
    </w:tbl>
    <w:p>
      <w:pPr>
        <w:pStyle w:val="Heading1"/>
        <w:spacing w:after="160" w:before="360"/>
      </w:pPr>
      <w:r>
        <w:rPr>
          <w:b/>
          <w:bCs/>
        </w:rPr>
        <w:t xml:space="preserve">4. Action Checklist to Reach 100%</w:t>
      </w:r>
    </w:p>
    <w:p>
      <w:pPr>
        <w:pStyle w:val="ListParagraph"/>
        <w:numPr>
          <w:ilvl w:val="0"/>
          <w:numId w:val="2"/>
        </w:numPr>
        <w:spacing w:after="80"/>
      </w:pPr>
      <w:r>
        <w:t xml:space="preserve">In app/utils/auth_middleware.py, add a check in both require_auth and require_admin: reject with 401 ("Invalid token type") if payload.get("type") != "access", immediately after decode_token succeeds.</w:t>
      </w:r>
    </w:p>
    <w:p>
      <w:pPr>
        <w:pStyle w:val="ListParagraph"/>
        <w:numPr>
          <w:ilvl w:val="0"/>
          <w:numId w:val="2"/>
        </w:numPr>
        <w:spacing w:after="80"/>
      </w:pPr>
      <w:r>
        <w:t xml:space="preserve">Add a regression test that generates a valid refresh token and asserts it is rejected (401) when sent as a Bearer token to a @require_auth route (e.g. GET /api/user/profile) and to a @require_admin route (e.g. GET /api/admin/auth/me).</w:t>
      </w:r>
    </w:p>
    <w:p>
      <w:pPr>
        <w:pStyle w:val="ListParagraph"/>
        <w:numPr>
          <w:ilvl w:val="0"/>
          <w:numId w:val="2"/>
        </w:numPr>
        <w:spacing w:after="80"/>
      </w:pPr>
      <w:r>
        <w:t xml:space="preserve">Re-run the full test suite and only after it passes, update security-validation.md and final-technical-approval.md so their claims match the verified behavior — include the new test names as evidence.</w:t>
      </w:r>
    </w:p>
    <w:p>
      <w:pPr>
        <w:pStyle w:val="ListParagraph"/>
        <w:numPr>
          <w:ilvl w:val="0"/>
          <w:numId w:val="2"/>
        </w:numPr>
        <w:spacing w:after="80"/>
      </w:pPr>
      <w:r>
        <w:t xml:space="preserve">Add "errors": {} to the two remaining response paths in auth_routes.py (the email-required 400 and the rate-limit 429 in /login).</w:t>
      </w:r>
    </w:p>
    <w:p>
      <w:pPr>
        <w:pStyle w:val="ListParagraph"/>
        <w:numPr>
          <w:ilvl w:val="0"/>
          <w:numId w:val="2"/>
        </w:numPr>
        <w:spacing w:after="80"/>
      </w:pPr>
      <w:r>
        <w:t xml:space="preserve">Remove the unused imports in admin_auth_routes.py now that AdminAuthService owns that logic.</w:t>
      </w:r>
    </w:p>
    <w:p>
      <w:pPr>
        <w:pStyle w:val="ListParagraph"/>
        <w:numPr>
          <w:ilvl w:val="0"/>
          <w:numId w:val="2"/>
        </w:numPr>
        <w:spacing w:after="80"/>
      </w:pPr>
      <w:r>
        <w:t xml:space="preserve">Attach an actual build log (or CI run link) to final-technical-approval.md to substantiate the 'Production Build Check' line, rather than an unverified assertion.</w:t>
      </w:r>
    </w:p>
    <w:p>
      <w:pPr>
        <w:pStyle w:val="Heading1"/>
        <w:spacing w:after="160" w:before="360"/>
      </w:pPr>
      <w:r>
        <w:rPr>
          <w:b/>
          <w:bCs/>
        </w:rPr>
        <w:t xml:space="preserve">5. Summary</w:t>
      </w:r>
    </w:p>
    <w:p>
      <w:pPr>
        <w:spacing w:after="120"/>
      </w:pPr>
      <w:r>
        <w:t xml:space="preserve">This round shows real remediation discipline — nine of the ten items from Round 1 were fixed correctly and verifiably, including the security-sensitive AdminAuthContext work, which was done exactly right. The reason the score sits at 80% rather than the high 90s is a single but consequential gap: adding a token-type claim without wiring it into the middleware that actually gates access, paired with governance documents that assert it's already handled. Close the middleware gap, correct the two documents that reference it, and this module is realistically at 96%+.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2026-07-04T11:42:27.354Z</dcterms:created>
  <dcterms:modified xsi:type="dcterms:W3CDTF">2026-07-04T11:42:27.355Z</dcterms:modified>
</cp:coreProperties>
</file>

<file path=docProps/custom.xml><?xml version="1.0" encoding="utf-8"?>
<Properties xmlns="http://schemas.openxmlformats.org/officeDocument/2006/custom-properties" xmlns:vt="http://schemas.openxmlformats.org/officeDocument/2006/docPropsVTypes"/>
</file>