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2A4A"/>
          <w:sz w:val="48"/>
          <w:szCs w:val="48"/>
        </w:rPr>
        <w:t xml:space="preserve">COMPREHENSIVE CODE AUDIT REPORT</w:t>
      </w:r>
    </w:p>
    <w:p>
      <w:pPr>
        <w:spacing w:after="200"/>
        <w:jc w:val="center"/>
      </w:pPr>
      <w:r>
        <w:rPr>
          <w:rFonts w:ascii="Arial" w:cs="Arial" w:eastAsia="Arial" w:hAnsi="Arial"/>
          <w:color w:val="2E5090"/>
          <w:sz w:val="32"/>
          <w:szCs w:val="32"/>
        </w:rPr>
        <w:t xml:space="preserve">VIGIL — PostgresTool Monorepo</w:t>
      </w:r>
    </w:p>
    <w:p>
      <w:pPr>
        <w:spacing w:after="600"/>
        <w:jc w:val="center"/>
      </w:pPr>
      <w:r>
        <w:rPr>
          <w:rFonts w:ascii="Arial" w:cs="Arial" w:eastAsia="Arial" w:hAnsi="Arial"/>
          <w:i/>
          <w:iCs/>
          <w:color w:val="666666"/>
          <w:sz w:val="22"/>
          <w:szCs w:val="22"/>
        </w:rPr>
        <w:t xml:space="preserve">Security • Code Quality • Performance • Architecture</w:t>
      </w:r>
    </w:p>
    <w:p>
      <w:pPr>
        <w:jc w:val="center"/>
      </w:pPr>
      <w:r>
        <w:rPr>
          <w:rFonts w:ascii="Arial" w:cs="Arial" w:eastAsia="Arial" w:hAnsi="Arial"/>
          <w:sz w:val="22"/>
          <w:szCs w:val="22"/>
        </w:rPr>
        <w:t xml:space="preserve">Date: April 17, 2026</w:t>
      </w:r>
    </w:p>
    <w:p>
      <w:pPr>
        <w:spacing w:after="200"/>
        <w:jc w:val="center"/>
      </w:pPr>
      <w:r>
        <w:rPr>
          <w:rFonts w:ascii="Arial" w:cs="Arial" w:eastAsia="Arial" w:hAnsi="Arial"/>
          <w:sz w:val="22"/>
          <w:szCs w:val="22"/>
        </w:rPr>
        <w:t xml:space="preserve">Prepared for: Dilip Patil</w:t>
      </w:r>
    </w:p>
    <w:p>
      <w:r>
        <w:br w:type="page"/>
      </w:r>
    </w:p>
    <w:p>
      <w:pPr>
        <w:pStyle w:val="Heading1"/>
      </w:pPr>
      <w:r>
        <w:t xml:space="preserve">1. Executive Summary</w:t>
      </w:r>
    </w:p>
    <w:p>
      <w:pPr>
        <w:spacing w:after="160"/>
      </w:pPr>
      <w:r>
        <w:rPr>
          <w:sz w:val="22"/>
          <w:szCs w:val="22"/>
        </w:rPr>
        <w:t xml:space="preserve">This report presents the findings of a comprehensive code audit of the VIGIL (PostgresTool) monorepo, a full-stack database monitoring and management platform. The audit covered the backend (Node.js/Express/TypeScript), frontend (React/Vite), Python analytics API, SDK, shared modules, and deployment configuration.</w:t>
      </w:r>
    </w:p>
    <w:p>
      <w:pPr>
        <w:spacing w:after="160"/>
      </w:pPr>
      <w:r>
        <w:rPr>
          <w:sz w:val="22"/>
          <w:szCs w:val="22"/>
        </w:rPr>
        <w:t xml:space="preserve">The codebase demonstrates strong foundational security practices including parameterized SQL queries, DOMPurify-based XSS prevention, Zod input validation, and proper .gitignore configuration. However, 21 security findings were identified across 4 severity levels, with 5 critical issues that require immediate remediation before production deployment.</w:t>
      </w:r>
    </w:p>
    <w:p>
      <w:pPr>
        <w:spacing w:after="200"/>
      </w:pPr>
      <w:r>
        <w:rPr>
          <w:sz w:val="22"/>
          <w:szCs w:val="22"/>
        </w:rPr>
        <w:t xml:space="preserve">The most urgent concerns are: a default JWT secret that could allow token forgery, JWT tokens stored in browser localStorage (exploitable via XSS), AWS credentials exposed in browser storage, weak encryption key fallback, and a tenant isolation bypass through integer overflow.</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 remediation before 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000"/>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06000"/>
                <w:sz w:val="20"/>
                <w:szCs w:val="20"/>
              </w:rPr>
              <w:t xml:space="preserve">FAIL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within current sprint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9900"/>
                <w:sz w:val="20"/>
                <w:szCs w:val="20"/>
              </w:rPr>
              <w:t xml:space="preserve">REVIEW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 in next sprint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2. Audit Scope</w:t>
      </w:r>
    </w:p>
    <w:p>
      <w:pPr>
        <w:spacing w:after="120"/>
      </w:pPr>
      <w:r>
        <w:rPr>
          <w:sz w:val="22"/>
          <w:szCs w:val="22"/>
        </w:rPr>
        <w:t xml:space="preserve">The following components were audited:</w:t>
      </w:r>
    </w:p>
    <w:p>
      <w:pPr>
        <w:pStyle w:val="ListParagraph"/>
        <w:numPr>
          <w:ilvl w:val="0"/>
          <w:numId w:val="2"/>
        </w:numPr>
      </w:pPr>
      <w:r>
        <w:rPr>
          <w:b/>
          <w:bCs/>
          <w:sz w:val="20"/>
          <w:szCs w:val="20"/>
        </w:rPr>
        <w:t xml:space="preserve">Backend: </w:t>
      </w:r>
      <w:r>
        <w:rPr>
          <w:sz w:val="20"/>
          <w:szCs w:val="20"/>
        </w:rPr>
        <w:t xml:space="preserve">Express 5.x server with TypeScript, Drizzle ORM, PostgreSQL, authentication middleware, encryption service, AI query service, email service, and 15+ route modules.</w:t>
      </w:r>
    </w:p>
    <w:p>
      <w:pPr>
        <w:pStyle w:val="ListParagraph"/>
        <w:numPr>
          <w:ilvl w:val="0"/>
          <w:numId w:val="2"/>
        </w:numPr>
      </w:pPr>
      <w:r>
        <w:rPr>
          <w:b/>
          <w:bCs/>
          <w:sz w:val="20"/>
          <w:szCs w:val="20"/>
        </w:rPr>
        <w:t xml:space="preserve">Frontend: </w:t>
      </w:r>
      <w:r>
        <w:rPr>
          <w:sz w:val="20"/>
          <w:szCs w:val="20"/>
        </w:rPr>
        <w:t xml:space="preserve">React 19 with Vite, AuthContext, 40+ view components, API client utilities, SSO integration, and CloudWatch monitoring.</w:t>
      </w:r>
    </w:p>
    <w:p>
      <w:pPr>
        <w:pStyle w:val="ListParagraph"/>
        <w:numPr>
          <w:ilvl w:val="0"/>
          <w:numId w:val="2"/>
        </w:numPr>
      </w:pPr>
      <w:r>
        <w:rPr>
          <w:b/>
          <w:bCs/>
          <w:sz w:val="20"/>
          <w:szCs w:val="20"/>
        </w:rPr>
        <w:t xml:space="preserve">Python API: </w:t>
      </w:r>
      <w:r>
        <w:rPr>
          <w:sz w:val="20"/>
          <w:szCs w:val="20"/>
        </w:rPr>
        <w:t xml:space="preserve">FastAPI analytics service with Pydantic validation and ML-based query analysis.</w:t>
      </w:r>
    </w:p>
    <w:p>
      <w:pPr>
        <w:pStyle w:val="ListParagraph"/>
        <w:numPr>
          <w:ilvl w:val="0"/>
          <w:numId w:val="2"/>
        </w:numPr>
      </w:pPr>
      <w:r>
        <w:rPr>
          <w:b/>
          <w:bCs/>
          <w:sz w:val="20"/>
          <w:szCs w:val="20"/>
        </w:rPr>
        <w:t xml:space="preserve">SDK: </w:t>
      </w:r>
      <w:r>
        <w:rPr>
          <w:sz w:val="20"/>
          <w:szCs w:val="20"/>
        </w:rPr>
        <w:t xml:space="preserve">JavaScript client library with authentication, retry logic, and connection management.</w:t>
      </w:r>
    </w:p>
    <w:p>
      <w:pPr>
        <w:pStyle w:val="ListParagraph"/>
        <w:numPr>
          <w:ilvl w:val="0"/>
          <w:numId w:val="2"/>
        </w:numPr>
        <w:spacing w:after="120"/>
      </w:pPr>
      <w:r>
        <w:rPr>
          <w:b/>
          <w:bCs/>
          <w:sz w:val="20"/>
          <w:szCs w:val="20"/>
        </w:rPr>
        <w:t xml:space="preserve">Configuration: </w:t>
      </w:r>
      <w:r>
        <w:rPr>
          <w:sz w:val="20"/>
          <w:szCs w:val="20"/>
        </w:rPr>
        <w:t xml:space="preserve">Environment files, Vercel deployment, GitHub Actions CI/CD, Turbo monorepo setup, and dependency management.</w:t>
      </w:r>
    </w:p>
    <w:p>
      <w:r>
        <w:br w:type="page"/>
      </w:r>
    </w:p>
    <w:p>
      <w:pPr>
        <w:pStyle w:val="Heading1"/>
      </w:pPr>
      <w:r>
        <w:t xml:space="preserve">3. Critical Findings</w:t>
      </w:r>
    </w:p>
    <w:p>
      <w:pPr>
        <w:spacing w:after="120"/>
      </w:pPr>
      <w:r>
        <w:rPr>
          <w:sz w:val="22"/>
          <w:szCs w:val="22"/>
        </w:rPr>
        <w:t xml:space="preserve">These issues pose an immediate risk to the security and integrity of the application and must be resolved before any production deployment.</w:t>
      </w:r>
    </w:p>
    <w:p>
      <w:pPr>
        <w:spacing w:after="80" w:before="24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SEC-001: Default JWT Secret Allows Token Forgery</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backend/server.js:69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A default JWT secret 'vigil-change-me-in-production' is used in non-production environments. If JWT_SECRET env var is not set in production, the server may start with a guessable secret, allowing any attacker to forge valid authentication tokens.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Complete authentication bypass. Any attacker can impersonate any user including administrators.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Remove the default fallback entirely. Fail server startup immediately if JWT_SECRET is not set or does not meet minimum entropy requirements (32+ random bytes, base64-encoded).</w:t>
      </w:r>
    </w:p>
    <w:p>
      <w:pPr>
        <w:spacing w:after="80" w:before="24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SEC-002: JWT Tokens Stored in localStorage (XSS-Exploitable)</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frontend/src/context/AuthContext.tsx:18, 137</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JWT tokens are stored in browser localStorage under the key 'vigil_token'. Unlike httpOnly cookies, localStorage is fully accessible to any JavaScript running on the page. If any XSS vulnerability exists, tokens can be exfiltrated silently.</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Token theft via XSS leads to full account takeover. Affects 20+ components that read this token.</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Migrate to httpOnly, Secure, SameSite=Strict cookies for session management. Remove all localStorage token usage from the frontend.</w:t>
      </w:r>
    </w:p>
    <w:p>
      <w:pPr>
        <w:spacing w:after="80" w:before="24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SEC-003: AWS Credentials Stored in Browser sessionStorage</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frontend/src/components/views/monitoring/CloudWatchTab.tsx:232-249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AWS access keys and secret keys are accepted via a browser form and stored in sessionStorage. Despite comments claiming sessionStorage is safer, it is still fully accessible to JavaScript and vulnerable to XSS exfiltration.</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Compromised AWS credentials can grant attackers full access to cloud infrastructure, leading to data breaches, resource abuse, or account takeover.</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Move all AWS credential handling to the backend. Use IAM roles or temporary STS tokens. Never expose long-lived AWS credentials to the browser.</w:t>
      </w:r>
    </w:p>
    <w:p>
      <w:pPr>
        <w:spacing w:after="80" w:before="24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SEC-004: Weak Encryption Key Fallback to JWT_SECRET</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backend/services/encryptionService.ts:61-69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AES-256-GCM encryption service falls back to using JWT_SECRET if the dedicated ENCRYPTION_KEY environment variable is not set. JWT secrets are designed for token signing and may lack sufficient entropy for symmetric encryption.</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Weak encryption of sensitive data at rest (database connection passwords). If JWT_SECRET is compromised, all encrypted credentials are exposed.</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Require a dedicated ENCRYPTION_KEY (32 random bytes, base64-encoded). Fail startup if not configured. Never reuse JWT signing keys for encryption.</w:t>
      </w:r>
    </w:p>
    <w:p>
      <w:pPr>
        <w:spacing w:after="80" w:before="240"/>
      </w:pPr>
      <w:r>
        <w:rPr>
          <w:rFonts w:ascii="Arial" w:cs="Arial" w:eastAsia="Arial" w:hAnsi="Arial"/>
          <w:b/>
          <w:bCs/>
          <w:color w:val="CC0000"/>
          <w:sz w:val="22"/>
          <w:szCs w:val="22"/>
        </w:rPr>
        <w:t xml:space="preserve">[CRITICAL] </w:t>
      </w:r>
      <w:r>
        <w:rPr>
          <w:rFonts w:ascii="Arial" w:cs="Arial" w:eastAsia="Arial" w:hAnsi="Arial"/>
          <w:b/>
          <w:bCs/>
          <w:sz w:val="22"/>
          <w:szCs w:val="22"/>
        </w:rPr>
        <w:t xml:space="preserve">SEC-005: Tenant Isolation Bypass via Integer Overflow</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backend/middleware/tenantIsolation.ts:27, 41, 48</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Organization IDs are parsed from HTTP headers using parseInt() without bounds validation. Negative numbers, NaN, or extremely large values can bypass membership checks and tenant isolation logic.</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Cross-tenant data access. Attackers could read or modify data belonging to other organizations.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Validate that parsed org IDs are positive integers within the expected range. Reject NaN, negative, zero, and overflow values before any database lookup.</w:t>
      </w:r>
    </w:p>
    <w:p>
      <w:r>
        <w:br w:type="page"/>
      </w:r>
    </w:p>
    <w:p>
      <w:pPr>
        <w:pStyle w:val="Heading1"/>
      </w:pPr>
      <w:r>
        <w:t xml:space="preserve">4. High Severity Findings</w:t>
      </w:r>
    </w:p>
    <w:p>
      <w:pPr>
        <w:spacing w:after="120"/>
      </w:pPr>
      <w:r>
        <w:rPr>
          <w:sz w:val="22"/>
          <w:szCs w:val="22"/>
        </w:rPr>
        <w:t xml:space="preserve">These issues represent significant security risks that should be addressed within the current development sprint.</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SEC-006: SQL Validation Regex Bypassed via Comment Injection</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backend/server.js:608</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CRITICAL_BLOCKED regex uses word boundaries to detect dangerous SQL keywords (DROP DATABASE, COPY TO PROGRAM). These can be bypassed with SQL comments: DROP/**/DATABASE bypasses the word-boundary check entirely.</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Attackers could execute destructive SQL operations (DROP DATABASE, COPY TO PROGRAM) through the AI query interface.</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Replace regex-based SQL validation with a proper SQL parser library. Use a whitelist approach allowing only SELECT statements.</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SEC-007: SSO Callback Exposes Tokens in URL Parameters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frontend/src/components/auth/SSOCallback.tsx:23-24</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SSO authentication flow passes tokens and user data as URL query parameters. These values are recorded in browser history, server access logs, referrer headers, and potentially shared via copy-paste.</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Token leakage through browser history, HTTP referrer headers, and server logs enables session hijacking.</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Use a POST redirect pattern for SSO callbacks. Pass tokens in the request body or use a short-lived authorization code that is exchanged server-side.</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SEC-008: No Content Security Policy (CSP) Headers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frontend/index.html</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frontend HTML document contains no Content-Security-Policy headers or meta tags. Without CSP, the browser places no restrictions on script sources, inline execution, or form targets.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Significantly increases the exploitability of any XSS vulnerability. Attackers can load external scripts, exfiltrate data, or redirect forms without restriction.</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Implement strict CSP headers: default-src 'self'; script-src 'self'; style-src 'self' 'unsafe-inline'; img-src 'self' data:; connect-src 'self' &lt;api-domain&gt;.</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SEC-009: Database SSL Certificate Validation Disabled</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backend/db.ts:34-39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database SSL configuration sets rejectUnauthorized: false, which disables certificate validation. This accepts any certificate including self-signed or attacker-controlled certificates.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Man-in-the-middle attacks on database connections. Attackers on the network path can intercept and modify database traffic.</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Never disable certificate validation in production. Use proper certificate management with CA bundles for self-signed certificates.</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SEC-010: Python FastAPI CORS Allows All Origins (*)</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python/api/config.py:14</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Python FastAPI service defaults CORS_ORIGINS to ['*'], allowing requests from any origin. This completely defeats CORS protection.</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Any malicious website can make authenticated cross-origin requests to the Python API endpoints.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Configure specific allowed origins from environment variables. Default to the production frontend domain only.</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SEC-011: Information Disclosure in Error Responses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backend/routes/aiQueryRoutes.ts:43, userRoutes.ts:72, server.js (multiple)</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Error handlers return raw error messages to clients via res.status(500).json({ error: err.message }). These messages may contain SQL syntax, file paths, stack traces, or internal system details.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Leaked error details help attackers understand the technology stack, database schema, and potential attack vectors.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Return generic error messages to clients. Log detailed errors server-side with request correlation IDs. Only expose details in development mode.</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SEC-012: Missing Request Body Size Limits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backend/server.js</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Express application does not configure explicit body size limits for JSON or text parsers. The default limit may allow very large payloads.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Denial-of-service through memory exhaustion by sending extremely large request bodies.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Configure explicit limits: express.json({ limit: '10kb' }) for general endpoints, express.text({ limit: '50kb' }) for SQL query endpoints.</w:t>
      </w:r>
    </w:p>
    <w:p>
      <w:pPr>
        <w:spacing w:after="80" w:before="240"/>
      </w:pPr>
      <w:r>
        <w:rPr>
          <w:rFonts w:ascii="Arial" w:cs="Arial" w:eastAsia="Arial" w:hAnsi="Arial"/>
          <w:b/>
          <w:bCs/>
          <w:color w:val="E06000"/>
          <w:sz w:val="22"/>
          <w:szCs w:val="22"/>
        </w:rPr>
        <w:t xml:space="preserve">[HIGH] </w:t>
      </w:r>
      <w:r>
        <w:rPr>
          <w:rFonts w:ascii="Arial" w:cs="Arial" w:eastAsia="Arial" w:hAnsi="Arial"/>
          <w:b/>
          <w:bCs/>
          <w:sz w:val="22"/>
          <w:szCs w:val="22"/>
        </w:rPr>
        <w:t xml:space="preserve">SEC-013: CORS Configuration Includes Localhost in Production</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backend/server.js:71-79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The CORS origins list hardcodes http://localhost:5173 and http://localhost:3000 alongside production domains. These are not filtered out based on environment.</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In production, any application running on localhost of a user's machine could make cross-origin requests to the API.</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Remove hardcoded localhost origins. Use environment-specific CORS configuration. Validate all origins use HTTPS in production.</w:t>
      </w:r>
    </w:p>
    <w:p>
      <w:r>
        <w:br w:type="page"/>
      </w:r>
    </w:p>
    <w:p>
      <w:pPr>
        <w:pStyle w:val="Heading1"/>
      </w:pPr>
      <w:r>
        <w:t xml:space="preserve">5. Medium Severity Findings</w:t>
      </w:r>
    </w:p>
    <w:p>
      <w:pPr>
        <w:spacing w:after="120"/>
      </w:pPr>
      <w:r>
        <w:rPr>
          <w:sz w:val="22"/>
          <w:szCs w:val="22"/>
        </w:rPr>
        <w:t xml:space="preserve">These issues should be addressed in the near term to improve the overall security posture and code quality.</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SEC-014: IP Whitelist Middleware Fails Open</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backend/middleware/ipWhitelist.ts:39-43</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When the IP whitelist check throws an error, the middleware calls next() allowing the request through. This fail-open design means a service outage in the whitelist system disables IP-based access control entirely.</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IP-based access controls can be bypassed by causing the whitelist service to fail.</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Implement fail-closed behavior. Block requests when the whitelist service is unavailable. Alert operations team on failures.</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SEC-015: No CSRF Protection on State-Changing Operations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frontend/src/utils/api.ts, backend/server.js:1034-1065</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API calls rely solely on Bearer token authorization headers. No CSRF tokens are generated or validated. The backend CSRF handling code appears optional.</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CSRF attacks possible if combined with token leakage or if cookies are used in the future.</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Implement SameSite=Strict cookies or double-submit cookie CSRF tokens for all state-changing endpoints.</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SEC-016: Weak Password Policy (8 Characters Minimum Only)</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backend/routes/userRoutes.ts:39-43</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Password validation only enforces a minimum length of 8 characters with no complexity requirements (uppercase, lowercase, digits, special characters) and no check against common password lists.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Users can set easily guessable passwords, increasing the success rate of brute-force and credential-stuffing attacks.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Require mixed character sets. Check passwords against the HaveIBeenPwned API or a common password dictionary. Enforce minimum 12 characters.</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SEC-017: Email Header Injection Risk</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backend/services/emailService.ts:312-319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Email recipients are joined with comma separation (to.join(', ')) without validating individual addresses for SMTP injection characters (newlines, carriage returns).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Attackers could inject additional SMTP headers, redirect emails, or use the server as a spam relay.</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Validate all email addresses with a strict regex. Use nodemailer's native array support for the 'to' field instead of manual joining.</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SEC-018: Rate Limiting Uses In-Memory Storage (Not Distributed)</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backend/middleware/authenticate.ts:22-55, rateLimiter.ts:29-73</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Rate limiting state is stored in in-memory JavaScript Maps. State is lost on server restart and not shared across multiple server instances.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Rate limits are easily bypassed by waiting for a restart or distributing requests across multiple backend instances.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Use Redis or a database-backed rate limiter for production. Implement distributed rate limiting that persists across restarts.</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SEC-019: Client-Side RBAC Without Server-Side Enforcement</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frontend/src/context/AuthContext.tsx:206-212</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Role checks (hasRole, hasScreen, canWrite) are implemented client-side only, hiding UI elements but not enforcing access at the API level. An attacker can modify these checks via browser DevTools.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Unauthorized users could access restricted functionality by manipulating client-side role checks.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Ensure every backend endpoint validates user permissions server-side. Client-side checks should only improve UX, never enforce security.</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SEC-020: Super Admin Bypasses All Tenant Isolation</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backend/middleware/tenantIsolation.ts:25-29</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Super admin accounts skip all org validation and can access any organization by simply setting the x-org-id header to any value, including non-existent org IDs.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 compromised super admin account grants unrestricted access to all tenant data with no audit trail of org-level access.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Validate that the target org exists even for super admins. Log all super admin cross-tenant access. Implement break-glass procedures.</w:t>
      </w:r>
    </w:p>
    <w:p>
      <w:pPr>
        <w:spacing w:after="80" w:before="240"/>
      </w:pPr>
      <w:r>
        <w:rPr>
          <w:rFonts w:ascii="Arial" w:cs="Arial" w:eastAsia="Arial" w:hAnsi="Arial"/>
          <w:b/>
          <w:bCs/>
          <w:color w:val="CC9900"/>
          <w:sz w:val="22"/>
          <w:szCs w:val="22"/>
        </w:rPr>
        <w:t xml:space="preserve">[MEDIUM] </w:t>
      </w:r>
      <w:r>
        <w:rPr>
          <w:rFonts w:ascii="Arial" w:cs="Arial" w:eastAsia="Arial" w:hAnsi="Arial"/>
          <w:b/>
          <w:bCs/>
          <w:sz w:val="22"/>
          <w:szCs w:val="22"/>
        </w:rPr>
        <w:t xml:space="preserve">SEC-021: SSRF Risk in Database Connection Credentials</w:t>
      </w:r>
    </w:p>
    <w:p>
      <w:pPr>
        <w:spacing w:after="60"/>
      </w:pPr>
      <w:r>
        <w:rPr>
          <w:rFonts w:ascii="Arial" w:cs="Arial" w:eastAsia="Arial" w:hAnsi="Arial"/>
          <w:b/>
          <w:bCs/>
          <w:sz w:val="20"/>
          <w:szCs w:val="20"/>
        </w:rPr>
        <w:t xml:space="preserve">Location: </w:t>
      </w:r>
      <w:r>
        <w:rPr>
          <w:rFonts w:ascii="Arial" w:cs="Arial" w:eastAsia="Arial" w:hAnsi="Arial"/>
          <w:i/>
          <w:iCs/>
          <w:sz w:val="20"/>
          <w:szCs w:val="20"/>
        </w:rPr>
        <w:t xml:space="preserve">backend/server.js:2643</w:t>
      </w:r>
    </w:p>
    <w:p>
      <w:pPr>
        <w:spacing w:after="60"/>
      </w:pPr>
      <w:r>
        <w:rPr>
          <w:rFonts w:ascii="Arial" w:cs="Arial" w:eastAsia="Arial" w:hAnsi="Arial"/>
          <w:b/>
          <w:bCs/>
          <w:sz w:val="20"/>
          <w:szCs w:val="20"/>
        </w:rPr>
        <w:t xml:space="preserve">Issue: </w:t>
      </w:r>
      <w:r>
        <w:rPr>
          <w:rFonts w:ascii="Arial" w:cs="Arial" w:eastAsia="Arial" w:hAnsi="Arial"/>
          <w:sz w:val="20"/>
          <w:szCs w:val="20"/>
        </w:rPr>
        <w:t xml:space="preserve">Database connection host, port, and credentials are accepted from request bodies without validating that the host is not an internal/private network address.</w:t>
      </w:r>
    </w:p>
    <w:p>
      <w:pPr>
        <w:spacing w:after="60"/>
      </w:pPr>
      <w:r>
        <w:rPr>
          <w:rFonts w:ascii="Arial" w:cs="Arial" w:eastAsia="Arial" w:hAnsi="Arial"/>
          <w:b/>
          <w:bCs/>
          <w:sz w:val="20"/>
          <w:szCs w:val="20"/>
        </w:rPr>
        <w:t xml:space="preserve">Impact: </w:t>
      </w:r>
      <w:r>
        <w:rPr>
          <w:rFonts w:ascii="Arial" w:cs="Arial" w:eastAsia="Arial" w:hAnsi="Arial"/>
          <w:sz w:val="20"/>
          <w:szCs w:val="20"/>
        </w:rPr>
        <w:t xml:space="preserve">Attackers could use the server to probe internal network services (SSRF) by specifying internal IPs as database hosts.</w:t>
      </w:r>
    </w:p>
    <w:p>
      <w:pPr>
        <w:spacing w:after="160"/>
      </w:pPr>
      <w:r>
        <w:rPr>
          <w:rFonts w:ascii="Arial" w:cs="Arial" w:eastAsia="Arial" w:hAnsi="Arial"/>
          <w:b/>
          <w:bCs/>
          <w:sz w:val="20"/>
          <w:szCs w:val="20"/>
        </w:rPr>
        <w:t xml:space="preserve">Recommendation: </w:t>
      </w:r>
      <w:r>
        <w:rPr>
          <w:rFonts w:ascii="Arial" w:cs="Arial" w:eastAsia="Arial" w:hAnsi="Arial"/>
          <w:sz w:val="20"/>
          <w:szCs w:val="20"/>
        </w:rPr>
        <w:t xml:space="preserve">Block private IP ranges (127.0.0.0/8, 10.0.0.0/8, 172.16.0.0/12, 192.168.0.0/16) for user-supplied hosts. Validate port ranges (1-65535).</w:t>
      </w:r>
    </w:p>
    <w:p>
      <w:r>
        <w:br w:type="page"/>
      </w:r>
    </w:p>
    <w:p>
      <w:pPr>
        <w:pStyle w:val="Heading1"/>
      </w:pPr>
      <w:r>
        <w:t xml:space="preserve">6. Positive Findings</w:t>
      </w:r>
    </w:p>
    <w:p>
      <w:pPr>
        <w:spacing w:after="120"/>
      </w:pPr>
      <w:r>
        <w:rPr>
          <w:sz w:val="22"/>
          <w:szCs w:val="22"/>
        </w:rPr>
        <w:t xml:space="preserve">The following security best practices are already well-implemented in the codebase:</w:t>
      </w:r>
    </w:p>
    <w:p>
      <w:pPr>
        <w:pStyle w:val="ListParagraph"/>
        <w:numPr>
          <w:ilvl w:val="0"/>
          <w:numId w:val="3"/>
        </w:numPr>
      </w:pPr>
      <w:r>
        <w:rPr>
          <w:color w:val="228B22"/>
          <w:sz w:val="20"/>
          <w:szCs w:val="20"/>
        </w:rPr>
        <w:t xml:space="preserve">Parameterized SQL queries used consistently across all database operations</w:t>
      </w:r>
    </w:p>
    <w:p>
      <w:pPr>
        <w:pStyle w:val="ListParagraph"/>
        <w:numPr>
          <w:ilvl w:val="0"/>
          <w:numId w:val="3"/>
        </w:numPr>
      </w:pPr>
      <w:r>
        <w:rPr>
          <w:color w:val="228B22"/>
          <w:sz w:val="20"/>
          <w:szCs w:val="20"/>
        </w:rPr>
        <w:t xml:space="preserve">DOMPurify sanitization applied to all dangerouslySetInnerHTML usage in React</w:t>
      </w:r>
    </w:p>
    <w:p>
      <w:pPr>
        <w:pStyle w:val="ListParagraph"/>
        <w:numPr>
          <w:ilvl w:val="0"/>
          <w:numId w:val="3"/>
        </w:numPr>
      </w:pPr>
      <w:r>
        <w:rPr>
          <w:color w:val="228B22"/>
          <w:sz w:val="20"/>
          <w:szCs w:val="20"/>
        </w:rPr>
        <w:t xml:space="preserve">Zod runtime validation schemas in shared/validators for input checking</w:t>
      </w:r>
    </w:p>
    <w:p>
      <w:pPr>
        <w:pStyle w:val="ListParagraph"/>
        <w:numPr>
          <w:ilvl w:val="0"/>
          <w:numId w:val="3"/>
        </w:numPr>
      </w:pPr>
      <w:r>
        <w:rPr>
          <w:color w:val="228B22"/>
          <w:sz w:val="20"/>
          <w:szCs w:val="20"/>
        </w:rPr>
        <w:t xml:space="preserve">RSA-OAEP client-side password encryption for connection credentials</w:t>
      </w:r>
    </w:p>
    <w:p>
      <w:pPr>
        <w:pStyle w:val="ListParagraph"/>
        <w:numPr>
          <w:ilvl w:val="0"/>
          <w:numId w:val="3"/>
        </w:numPr>
      </w:pPr>
      <w:r>
        <w:rPr>
          <w:color w:val="228B22"/>
          <w:sz w:val="20"/>
          <w:szCs w:val="20"/>
        </w:rPr>
        <w:t xml:space="preserve">Exponential backoff and request deduplication in frontend API client</w:t>
      </w:r>
    </w:p>
    <w:p>
      <w:pPr>
        <w:pStyle w:val="ListParagraph"/>
        <w:numPr>
          <w:ilvl w:val="0"/>
          <w:numId w:val="3"/>
        </w:numPr>
      </w:pPr>
      <w:r>
        <w:rPr>
          <w:color w:val="228B22"/>
          <w:sz w:val="20"/>
          <w:szCs w:val="20"/>
        </w:rPr>
        <w:t xml:space="preserve">Comprehensive audit logging service with append-only design</w:t>
      </w:r>
    </w:p>
    <w:p>
      <w:pPr>
        <w:pStyle w:val="ListParagraph"/>
        <w:numPr>
          <w:ilvl w:val="0"/>
          <w:numId w:val="3"/>
        </w:numPr>
      </w:pPr>
      <w:r>
        <w:rPr>
          <w:color w:val="228B22"/>
          <w:sz w:val="20"/>
          <w:szCs w:val="20"/>
        </w:rPr>
        <w:t xml:space="preserve">Rate limiting on login endpoint (10 attempts per 15 minutes)</w:t>
      </w:r>
    </w:p>
    <w:p>
      <w:pPr>
        <w:pStyle w:val="ListParagraph"/>
        <w:numPr>
          <w:ilvl w:val="0"/>
          <w:numId w:val="3"/>
        </w:numPr>
      </w:pPr>
      <w:r>
        <w:rPr>
          <w:color w:val="228B22"/>
          <w:sz w:val="20"/>
          <w:szCs w:val="20"/>
        </w:rPr>
        <w:t xml:space="preserve">Security headers (HSTS, X-Frame-Options, X-Content-Type-Options) configured</w:t>
      </w:r>
    </w:p>
    <w:p>
      <w:pPr>
        <w:pStyle w:val="ListParagraph"/>
        <w:numPr>
          <w:ilvl w:val="0"/>
          <w:numId w:val="3"/>
        </w:numPr>
      </w:pPr>
      <w:r>
        <w:rPr>
          <w:color w:val="228B22"/>
          <w:sz w:val="20"/>
          <w:szCs w:val="20"/>
        </w:rPr>
        <w:t xml:space="preserve">CI pipeline includes secret scanning and dependency auditing</w:t>
      </w:r>
    </w:p>
    <w:p>
      <w:pPr>
        <w:pStyle w:val="ListParagraph"/>
        <w:numPr>
          <w:ilvl w:val="0"/>
          <w:numId w:val="3"/>
        </w:numPr>
      </w:pPr>
      <w:r>
        <w:rPr>
          <w:color w:val="228B22"/>
          <w:sz w:val="20"/>
          <w:szCs w:val="20"/>
        </w:rPr>
        <w:t xml:space="preserve">SDK implements proper retry logic with AbortSignal timeouts</w:t>
      </w:r>
    </w:p>
    <w:p>
      <w:pPr>
        <w:pStyle w:val="ListParagraph"/>
        <w:numPr>
          <w:ilvl w:val="0"/>
          <w:numId w:val="3"/>
        </w:numPr>
      </w:pPr>
      <w:r>
        <w:rPr>
          <w:color w:val="228B22"/>
          <w:sz w:val="20"/>
          <w:szCs w:val="20"/>
        </w:rPr>
        <w:t xml:space="preserve">Husky pre-commit hooks enforce code formatting standards</w:t>
      </w:r>
    </w:p>
    <w:p>
      <w:pPr>
        <w:pStyle w:val="ListParagraph"/>
        <w:numPr>
          <w:ilvl w:val="0"/>
          <w:numId w:val="3"/>
        </w:numPr>
      </w:pPr>
      <w:r>
        <w:rPr>
          <w:color w:val="228B22"/>
          <w:sz w:val="20"/>
          <w:szCs w:val="20"/>
        </w:rPr>
        <w:t xml:space="preserve">.gitignore properly excludes .env files and sensitive credentials</w:t>
      </w:r>
    </w:p>
    <w:p>
      <w:r>
        <w:br w:type="page"/>
      </w:r>
    </w:p>
    <w:p>
      <w:pPr>
        <w:pStyle w:val="Heading1"/>
      </w:pPr>
      <w:r>
        <w:t xml:space="preserve">7. Remediation Roadmap</w:t>
      </w:r>
    </w:p>
    <w:p>
      <w:pPr>
        <w:pStyle w:val="Heading2"/>
      </w:pPr>
      <w:r>
        <w:t xml:space="preserve">Phase 1: Immediate (Before Production)</w:t>
      </w:r>
    </w:p>
    <w:p>
      <w:pPr>
        <w:pStyle w:val="ListParagraph"/>
        <w:numPr>
          <w:ilvl w:val="0"/>
          <w:numId w:val="4"/>
        </w:numPr>
      </w:pPr>
      <w:r>
        <w:rPr>
          <w:sz w:val="20"/>
          <w:szCs w:val="20"/>
        </w:rPr>
        <w:t xml:space="preserve">Require dedicated JWT_SECRET and ENCRYPTION_KEY with minimum entropy validation at startup (SEC-001, SEC-004)</w:t>
      </w:r>
    </w:p>
    <w:p>
      <w:pPr>
        <w:pStyle w:val="ListParagraph"/>
        <w:numPr>
          <w:ilvl w:val="0"/>
          <w:numId w:val="4"/>
        </w:numPr>
      </w:pPr>
      <w:r>
        <w:rPr>
          <w:sz w:val="20"/>
          <w:szCs w:val="20"/>
        </w:rPr>
        <w:t xml:space="preserve">Migrate JWT storage from localStorage to httpOnly Secure cookies (SEC-002)</w:t>
      </w:r>
    </w:p>
    <w:p>
      <w:pPr>
        <w:pStyle w:val="ListParagraph"/>
        <w:numPr>
          <w:ilvl w:val="0"/>
          <w:numId w:val="4"/>
        </w:numPr>
      </w:pPr>
      <w:r>
        <w:rPr>
          <w:sz w:val="20"/>
          <w:szCs w:val="20"/>
        </w:rPr>
        <w:t xml:space="preserve">Move AWS credential handling to backend; use STS temporary tokens (SEC-003)</w:t>
      </w:r>
    </w:p>
    <w:p>
      <w:pPr>
        <w:pStyle w:val="ListParagraph"/>
        <w:numPr>
          <w:ilvl w:val="0"/>
          <w:numId w:val="4"/>
        </w:numPr>
      </w:pPr>
      <w:r>
        <w:rPr>
          <w:sz w:val="20"/>
          <w:szCs w:val="20"/>
        </w:rPr>
        <w:t xml:space="preserve">Add integer bounds validation to tenant isolation middleware (SEC-005)</w:t>
      </w:r>
    </w:p>
    <w:p>
      <w:pPr>
        <w:pStyle w:val="ListParagraph"/>
        <w:numPr>
          <w:ilvl w:val="0"/>
          <w:numId w:val="4"/>
        </w:numPr>
      </w:pPr>
      <w:r>
        <w:rPr>
          <w:sz w:val="20"/>
          <w:szCs w:val="20"/>
        </w:rPr>
        <w:t xml:space="preserve">Replace regex SQL validation with a proper SQL parser (SEC-006)</w:t>
      </w:r>
    </w:p>
    <w:p>
      <w:pPr>
        <w:pStyle w:val="Heading2"/>
      </w:pPr>
      <w:r>
        <w:t xml:space="preserve">Phase 2: Current Sprint</w:t>
      </w:r>
    </w:p>
    <w:p>
      <w:pPr>
        <w:pStyle w:val="ListParagraph"/>
        <w:numPr>
          <w:ilvl w:val="0"/>
          <w:numId w:val="4"/>
        </w:numPr>
      </w:pPr>
      <w:r>
        <w:rPr>
          <w:sz w:val="20"/>
          <w:szCs w:val="20"/>
        </w:rPr>
        <w:t xml:space="preserve">Fix SSO callback to use POST redirect instead of URL parameters (SEC-007)</w:t>
      </w:r>
    </w:p>
    <w:p>
      <w:pPr>
        <w:pStyle w:val="ListParagraph"/>
        <w:numPr>
          <w:ilvl w:val="0"/>
          <w:numId w:val="4"/>
        </w:numPr>
      </w:pPr>
      <w:r>
        <w:rPr>
          <w:sz w:val="20"/>
          <w:szCs w:val="20"/>
        </w:rPr>
        <w:t xml:space="preserve">Implement Content Security Policy headers (SEC-008)</w:t>
      </w:r>
    </w:p>
    <w:p>
      <w:pPr>
        <w:pStyle w:val="ListParagraph"/>
        <w:numPr>
          <w:ilvl w:val="0"/>
          <w:numId w:val="4"/>
        </w:numPr>
      </w:pPr>
      <w:r>
        <w:rPr>
          <w:sz w:val="20"/>
          <w:szCs w:val="20"/>
        </w:rPr>
        <w:t xml:space="preserve">Enable proper SSL certificate validation for production databases (SEC-009)</w:t>
      </w:r>
    </w:p>
    <w:p>
      <w:pPr>
        <w:pStyle w:val="ListParagraph"/>
        <w:numPr>
          <w:ilvl w:val="0"/>
          <w:numId w:val="4"/>
        </w:numPr>
      </w:pPr>
      <w:r>
        <w:rPr>
          <w:sz w:val="20"/>
          <w:szCs w:val="20"/>
        </w:rPr>
        <w:t xml:space="preserve">Restrict Python API CORS to specific origins (SEC-010)</w:t>
      </w:r>
    </w:p>
    <w:p>
      <w:pPr>
        <w:pStyle w:val="ListParagraph"/>
        <w:numPr>
          <w:ilvl w:val="0"/>
          <w:numId w:val="4"/>
        </w:numPr>
      </w:pPr>
      <w:r>
        <w:rPr>
          <w:sz w:val="20"/>
          <w:szCs w:val="20"/>
        </w:rPr>
        <w:t xml:space="preserve">Sanitize error responses; return generic messages to clients (SEC-011)</w:t>
      </w:r>
    </w:p>
    <w:p>
      <w:pPr>
        <w:pStyle w:val="ListParagraph"/>
        <w:numPr>
          <w:ilvl w:val="0"/>
          <w:numId w:val="4"/>
        </w:numPr>
      </w:pPr>
      <w:r>
        <w:rPr>
          <w:sz w:val="20"/>
          <w:szCs w:val="20"/>
        </w:rPr>
        <w:t xml:space="preserve">Add request body size limits and remove localhost from CORS (SEC-012, SEC-013)</w:t>
      </w:r>
    </w:p>
    <w:p>
      <w:pPr>
        <w:pStyle w:val="Heading2"/>
      </w:pPr>
      <w:r>
        <w:t xml:space="preserve">Phase 3: Next Sprint</w:t>
      </w:r>
    </w:p>
    <w:p>
      <w:pPr>
        <w:pStyle w:val="ListParagraph"/>
        <w:numPr>
          <w:ilvl w:val="0"/>
          <w:numId w:val="4"/>
        </w:numPr>
      </w:pPr>
      <w:r>
        <w:rPr>
          <w:sz w:val="20"/>
          <w:szCs w:val="20"/>
        </w:rPr>
        <w:t xml:space="preserve">Switch IP whitelist to fail-closed behavior (SEC-014)</w:t>
      </w:r>
    </w:p>
    <w:p>
      <w:pPr>
        <w:pStyle w:val="ListParagraph"/>
        <w:numPr>
          <w:ilvl w:val="0"/>
          <w:numId w:val="4"/>
        </w:numPr>
      </w:pPr>
      <w:r>
        <w:rPr>
          <w:sz w:val="20"/>
          <w:szCs w:val="20"/>
        </w:rPr>
        <w:t xml:space="preserve">Implement CSRF protection with SameSite cookies (SEC-015)</w:t>
      </w:r>
    </w:p>
    <w:p>
      <w:pPr>
        <w:pStyle w:val="ListParagraph"/>
        <w:numPr>
          <w:ilvl w:val="0"/>
          <w:numId w:val="4"/>
        </w:numPr>
      </w:pPr>
      <w:r>
        <w:rPr>
          <w:sz w:val="20"/>
          <w:szCs w:val="20"/>
        </w:rPr>
        <w:t xml:space="preserve">Enforce stronger password policies (SEC-016)</w:t>
      </w:r>
    </w:p>
    <w:p>
      <w:pPr>
        <w:pStyle w:val="ListParagraph"/>
        <w:numPr>
          <w:ilvl w:val="0"/>
          <w:numId w:val="4"/>
        </w:numPr>
      </w:pPr>
      <w:r>
        <w:rPr>
          <w:sz w:val="20"/>
          <w:szCs w:val="20"/>
        </w:rPr>
        <w:t xml:space="preserve">Sanitize email recipients and migrate to Redis-backed rate limiting (SEC-017, SEC-018)</w:t>
      </w:r>
    </w:p>
    <w:p>
      <w:pPr>
        <w:pStyle w:val="ListParagraph"/>
        <w:numPr>
          <w:ilvl w:val="0"/>
          <w:numId w:val="4"/>
        </w:numPr>
      </w:pPr>
      <w:r>
        <w:rPr>
          <w:sz w:val="20"/>
          <w:szCs w:val="20"/>
        </w:rPr>
        <w:t xml:space="preserve">Add server-side RBAC enforcement on all endpoints (SEC-019)</w:t>
      </w:r>
    </w:p>
    <w:p>
      <w:pPr>
        <w:pStyle w:val="ListParagraph"/>
        <w:numPr>
          <w:ilvl w:val="0"/>
          <w:numId w:val="4"/>
        </w:numPr>
      </w:pPr>
      <w:r>
        <w:rPr>
          <w:sz w:val="20"/>
          <w:szCs w:val="20"/>
        </w:rPr>
        <w:t xml:space="preserve">Add validation for super admin cross-tenant access and SSRF prevention (SEC-020, SEC-021)</w:t>
      </w:r>
    </w:p>
    <w:p>
      <w:r>
        <w:br w:type="page"/>
      </w:r>
    </w:p>
    <w:p>
      <w:pPr>
        <w:pStyle w:val="Heading1"/>
      </w:pPr>
      <w:r>
        <w:t xml:space="preserve">8. Dependency Assessment</w:t>
      </w:r>
    </w:p>
    <w:p>
      <w:pPr>
        <w:spacing w:after="160"/>
      </w:pPr>
      <w:r>
        <w:rPr>
          <w:sz w:val="22"/>
          <w:szCs w:val="22"/>
        </w:rPr>
        <w:t xml:space="preserve">All major dependencies are on current versions with no known critical vulnerabilities as of the audit date. Key packages: Express 5.2.1, React 19.2.0, bcryptjs 3.0.3, jsonwebtoken 9.0.3, helmet 8.0.0, pg 8.18.0, FastAPI 0.115+, Pydantic 2.9+. The CI pipeline includes npm audit checks, which is a strong practice.</w:t>
      </w:r>
    </w:p>
    <w:p>
      <w:pPr>
        <w:pStyle w:val="Heading1"/>
      </w:pPr>
      <w:r>
        <w:t xml:space="preserve">9. Conclusion</w:t>
      </w:r>
    </w:p>
    <w:p>
      <w:pPr>
        <w:spacing w:after="160"/>
      </w:pPr>
      <w:r>
        <w:rPr>
          <w:sz w:val="22"/>
          <w:szCs w:val="22"/>
        </w:rPr>
        <w:t xml:space="preserve">The VIGIL/PostgresTool codebase demonstrates mature development practices with thoughtful security architecture. The use of parameterized queries, input validation schemas, XSS sanitization, and encrypted credential storage shows a security-conscious development approach. However, the 5 critical findings around authentication token management, encryption key handling, and tenant isolation represent serious risks that must be resolved before production deployment. With the remediation roadmap implemented across the proposed three phases, the application will achieve a strong security posture suitable for production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VIGIL / PostgresTool — Full Code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2026-04-17T05:05:06.666Z</dcterms:created>
  <dcterms:modified xsi:type="dcterms:W3CDTF">2026-04-17T05:05:06.667Z</dcterms:modified>
</cp:coreProperties>
</file>

<file path=docProps/custom.xml><?xml version="1.0" encoding="utf-8"?>
<Properties xmlns="http://schemas.openxmlformats.org/officeDocument/2006/custom-properties" xmlns:vt="http://schemas.openxmlformats.org/officeDocument/2006/docPropsVTypes"/>
</file>