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left"/>
      </w:pPr>
      <w:r>
        <w:rPr>
          <w:b/>
          <w:bCs/>
          <w:color w:val="00A896"/>
          <w:spacing w:val="60"/>
          <w:sz w:val="20"/>
          <w:szCs w:val="20"/>
        </w:rPr>
        <w:t xml:space="preserve">COMPETITIVE STRATEGY</w:t>
      </w:r>
    </w:p>
    <w:p>
      <w:pPr>
        <w:spacing w:after="160"/>
      </w:pPr>
      <w:r>
        <w:rPr>
          <w:b/>
          <w:bCs/>
          <w:color w:val="0A2540"/>
          <w:sz w:val="56"/>
          <w:szCs w:val="56"/>
        </w:rPr>
        <w:t xml:space="preserve">FATHOM Strategic Roadmap to Compete</w:t>
      </w:r>
    </w:p>
    <w:p>
      <w:pPr>
        <w:spacing w:after="80"/>
      </w:pPr>
      <w:r>
        <w:rPr>
          <w:color w:val="64748B"/>
          <w:sz w:val="24"/>
          <w:szCs w:val="24"/>
        </w:rPr>
        <w:t xml:space="preserve">A phased plan to close the gaps against Datadog, pganalyze, Sentry, DataGrip and the rest of the market — and win the buyers incumbents overlook.</w:t>
      </w:r>
    </w:p>
    <w:p>
      <w:pPr>
        <w:pBdr>
          <w:bottom w:val="single" w:color="CBD5E1" w:sz="6" w:space="1"/>
        </w:pBdr>
        <w:spacing w:after="120"/>
      </w:pPr>
    </w:p>
    <w:p>
      <w:pPr>
        <w:tabs>
          <w:tab w:val="left" w:pos="1800"/>
        </w:tabs>
      </w:pPr>
      <w:r>
        <w:rPr>
          <w:b/>
          <w:bCs/>
          <w:color w:val="1E293B"/>
        </w:rPr>
        <w:t xml:space="preserve">Prepared:	</w:t>
      </w:r>
      <w:r>
        <w:rPr>
          <w:color w:val="1E293B"/>
        </w:rPr>
        <w:t xml:space="preserve">April 2026</w:t>
      </w:r>
    </w:p>
    <w:p>
      <w:pPr>
        <w:tabs>
          <w:tab w:val="left" w:pos="1800"/>
        </w:tabs>
        <w:spacing w:after="200"/>
      </w:pPr>
      <w:r>
        <w:rPr>
          <w:b/>
          <w:bCs/>
          <w:color w:val="1E293B"/>
        </w:rPr>
        <w:t xml:space="preserve">Companion to:	</w:t>
      </w:r>
      <w:r>
        <w:rPr>
          <w:color w:val="1E293B"/>
        </w:rPr>
        <w:t xml:space="preserve">FATHOM_vs_Market.pptx and FATHOM_Competitive_Gap_Analysis.docx</w:t>
      </w:r>
    </w:p>
    <w:p>
      <w:pPr>
        <w:pStyle w:val="Heading1"/>
      </w:pPr>
      <w:r>
        <w:rPr>
          <w:b/>
          <w:bCs/>
          <w:color w:val="0A2540"/>
        </w:rPr>
        <w:t xml:space="preserve">1. Executive summary</w:t>
      </w:r>
    </w:p>
    <w:p>
      <w:pPr>
        <w:spacing w:after="140"/>
      </w:pPr>
      <w:r>
        <w:rPr>
          <w:color w:val="1E293B"/>
        </w:rPr>
        <w:t xml:space="preserve">FATHOM currently sits at the intersection of three entrenched categories — database monitoring (Datadog DBM, pganalyze), database admin GUIs (DBeaver, DataGrip), and application observability (Datadog APM, Sentry, New Relic). Incumbents beat us on depth in any single category. Our competitive thesis is not to out-feature them one-by-one, but to out-integrate them: be the single pane of glass mid-market teams adopt instead of paying three vendors.</w:t>
      </w:r>
    </w:p>
    <w:p>
      <w:pPr>
        <w:spacing w:after="140"/>
      </w:pPr>
      <w:r>
        <w:rPr>
          <w:color w:val="1E293B"/>
        </w:rPr>
        <w:t xml:space="preserve">To make that thesis credible, six gaps must close. This document ranks them by return-on-investment (competitive impact ÷ build cost), phases the work across three quarters, and sets measurable exit criteria for each phase. The recommended first move is integration fan-out (PagerDuty, Slack, Jira, Teams, Opsgenie): it is the cheapest gap to close, unblocks the most enterprise deals in the near term, and is pure table stakes every competitor already offers.</w:t>
      </w:r>
    </w:p>
    <w:p>
      <w:pPr>
        <w:pStyle w:val="Heading3"/>
      </w:pPr>
      <w:r>
        <w:rPr>
          <w:b/>
          <w:bCs/>
          <w:color w:val="1E293B"/>
        </w:rPr>
        <w:t xml:space="preserve">Headline recommendations</w:t>
      </w:r>
    </w:p>
    <w:p>
      <w:pPr>
        <w:pStyle w:val="ListParagraph"/>
        <w:numPr>
          <w:ilvl w:val="0"/>
          <w:numId w:val="2"/>
        </w:numPr>
      </w:pPr>
      <w:r>
        <w:rPr>
          <w:b/>
          <w:bCs/>
          <w:color w:val="1E293B"/>
        </w:rPr>
        <w:t xml:space="preserve">Lead with integrations, not features. </w:t>
      </w:r>
      <w:r>
        <w:rPr>
          <w:color w:val="1E293B"/>
        </w:rPr>
        <w:t xml:space="preserve">The fastest way to double win-rates against Datadog and Sentry is to remove the “but does FATHOM talk to PagerDuty?” objection. Ship native routing to the top five destinations in the next 90 days.</w:t>
      </w:r>
    </w:p>
    <w:p>
      <w:pPr>
        <w:pStyle w:val="ListParagraph"/>
        <w:numPr>
          <w:ilvl w:val="0"/>
          <w:numId w:val="2"/>
        </w:numPr>
      </w:pPr>
      <w:r>
        <w:rPr>
          <w:b/>
          <w:bCs/>
          <w:color w:val="1E293B"/>
        </w:rPr>
        <w:t xml:space="preserve">Harden the enterprise trust stack in parallel. </w:t>
      </w:r>
      <w:r>
        <w:rPr>
          <w:color w:val="1E293B"/>
        </w:rPr>
        <w:t xml:space="preserve">Finish SOC2 Type II, ship SAML SSO, and expose audit log export. These block procurement, not product evaluation — so they should run concurrent to integration work.</w:t>
      </w:r>
    </w:p>
    <w:p>
      <w:pPr>
        <w:pStyle w:val="ListParagraph"/>
        <w:numPr>
          <w:ilvl w:val="0"/>
          <w:numId w:val="2"/>
        </w:numPr>
      </w:pPr>
      <w:r>
        <w:rPr>
          <w:b/>
          <w:bCs/>
          <w:color w:val="1E293B"/>
        </w:rPr>
        <w:t xml:space="preserve">Earn the right to APM in Phase 3. </w:t>
      </w:r>
      <w:r>
        <w:rPr>
          <w:color w:val="1E293B"/>
        </w:rPr>
        <w:t xml:space="preserve">Distributed tracing is the single most expensive feature on the list. Don’t attempt it until we have ≥100 paying teams using the logging SDK and a clear request signal.</w:t>
      </w:r>
    </w:p>
    <w:p>
      <w:pPr>
        <w:pStyle w:val="ListParagraph"/>
        <w:numPr>
          <w:ilvl w:val="0"/>
          <w:numId w:val="2"/>
        </w:numPr>
      </w:pPr>
      <w:r>
        <w:rPr>
          <w:b/>
          <w:bCs/>
          <w:color w:val="1E293B"/>
        </w:rPr>
        <w:t xml:space="preserve">Never out-feature Datadog. </w:t>
      </w:r>
      <w:r>
        <w:rPr>
          <w:color w:val="1E293B"/>
        </w:rPr>
        <w:t xml:space="preserve">The message is always unification and price. Every roadmap item must serve that wedge or get cut.</w:t>
      </w:r>
    </w:p>
    <w:p>
      <w:pPr>
        <w:pStyle w:val="Heading1"/>
      </w:pPr>
      <w:r>
        <w:rPr>
          <w:b/>
          <w:bCs/>
          <w:color w:val="0A2540"/>
        </w:rPr>
        <w:t xml:space="preserve">2. The competitive thesis</w:t>
      </w:r>
    </w:p>
    <w:p>
      <w:pPr>
        <w:spacing w:after="140"/>
      </w:pPr>
      <w:r>
        <w:rPr>
          <w:color w:val="1E293B"/>
        </w:rPr>
        <w:t xml:space="preserve">FATHOM’s wedge is not a feature, it is a packaging decision: unify database monitoring, query/admin tooling, and app log ingestion in one multi-tenant SaaS at a price point mid-market teams can absorb. That thesis has three pre-conditions we must defend:</w:t>
      </w:r>
    </w:p>
    <w:p>
      <w:pPr>
        <w:pStyle w:val="ListParagraph"/>
        <w:numPr>
          <w:ilvl w:val="0"/>
          <w:numId w:val="3"/>
        </w:numPr>
      </w:pPr>
      <w:r>
        <w:rPr>
          <w:color w:val="1E293B"/>
        </w:rPr>
        <w:t xml:space="preserve">A believable DB monitoring surface — multi-engine (Postgres / MySQL / Mongo), real-time metrics, alerting that routes correctly.</w:t>
      </w:r>
    </w:p>
    <w:p>
      <w:pPr>
        <w:pStyle w:val="ListParagraph"/>
        <w:numPr>
          <w:ilvl w:val="0"/>
          <w:numId w:val="3"/>
        </w:numPr>
      </w:pPr>
      <w:r>
        <w:rPr>
          <w:color w:val="1E293B"/>
        </w:rPr>
        <w:t xml:space="preserve">A believable admin GUI surface — schema browser, query editor, safe credential handling.</w:t>
      </w:r>
    </w:p>
    <w:p>
      <w:pPr>
        <w:pStyle w:val="ListParagraph"/>
        <w:numPr>
          <w:ilvl w:val="0"/>
          <w:numId w:val="3"/>
        </w:numPr>
      </w:pPr>
      <w:r>
        <w:rPr>
          <w:color w:val="1E293B"/>
        </w:rPr>
        <w:t xml:space="preserve">A believable app ingest surface — an SDK good enough that customer applications happily stream logs, errors, and audit events into FATHOM instead of a second vendor.</w:t>
      </w:r>
    </w:p>
    <w:p>
      <w:pPr>
        <w:spacing w:after="140"/>
      </w:pPr>
      <w:r>
        <w:rPr>
          <w:color w:val="1E293B"/>
        </w:rPr>
        <w:t xml:space="preserve">Today, surface #1 and #2 are credible but shallow versus specialists. Surface #3 is credible for JavaScript customers only. Every gap in this roadmap either deepens one of those surfaces or removes a procurement objection that prevents evaluation. Anything outside those two categories — including features that “would be cool” — is out of scope.</w:t>
      </w:r>
    </w:p>
    <w:p>
      <w:pPr>
        <w:pStyle w:val="Heading1"/>
      </w:pPr>
      <w:r>
        <w:rPr>
          <w:b/>
          <w:bCs/>
          <w:color w:val="0A2540"/>
        </w:rPr>
        <w:t xml:space="preserve">3. Prioritization framework</w:t>
      </w:r>
    </w:p>
    <w:p>
      <w:pPr>
        <w:spacing w:after="140"/>
      </w:pPr>
      <w:r>
        <w:rPr>
          <w:color w:val="1E293B"/>
        </w:rPr>
        <w:t xml:space="preserve">Each gap was scored on two axes: competitive impact (how many deals does closing this unlock?) and build cost (engineering quarters to ship production-grade). Priority = impact ÷ cost. Ties broken by whether the gap is a procurement blocker (harder objection to defer).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Gap</w:t>
            </w:r>
          </w:p>
        </w:tc>
        <w:tc>
          <w:tcPr>
            <w:tcW w:type="dxa" w:w="14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Impact</w:t>
            </w:r>
          </w:p>
        </w:tc>
        <w:tc>
          <w:tcPr>
            <w:tcW w:type="dxa" w:w="14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Cost</w:t>
            </w:r>
          </w:p>
        </w:tc>
        <w:tc>
          <w:tcPr>
            <w:tcW w:type="dxa" w:w="14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Priority</w:t>
            </w:r>
          </w:p>
        </w:tc>
        <w:tc>
          <w:tcPr>
            <w:tcW w:type="dxa" w:w="276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Phase</w:t>
            </w:r>
          </w:p>
        </w:tc>
      </w:tr>
      <w:tr>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Integration fan-out (PagerDuty / Slack / Jira / Teams / Opsgenie)</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High</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Low</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1 (highest)</w:t>
            </w:r>
          </w:p>
        </w:tc>
        <w:tc>
          <w:tcPr>
            <w:tcW w:type="dxa" w:w="276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Phase 1 — Q2 2026</w:t>
            </w:r>
          </w:p>
        </w:tc>
      </w:tr>
      <w:tr>
        <w:tc>
          <w:tcPr>
            <w:tcW w:type="dxa" w:w="2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Enterprise trust (SOC2 Type II, SAML SSO, audit export)</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High</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2</w:t>
            </w:r>
          </w:p>
        </w:tc>
        <w:tc>
          <w:tcPr>
            <w:tcW w:type="dxa" w:w="276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Phase 1 — Q2 2026</w:t>
            </w:r>
          </w:p>
        </w:tc>
      </w:tr>
      <w:tr>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Multi-language SDK (Python, Go, Java)</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High</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Medium</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3</w:t>
            </w:r>
          </w:p>
        </w:tc>
        <w:tc>
          <w:tcPr>
            <w:tcW w:type="dxa" w:w="276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Phase 2 — Q3 2026</w:t>
            </w:r>
          </w:p>
        </w:tc>
      </w:tr>
      <w:tr>
        <w:tc>
          <w:tcPr>
            <w:tcW w:type="dxa" w:w="2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Postgres depth (plan diff, index advisor, vacuum watcher)</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4</w:t>
            </w:r>
          </w:p>
        </w:tc>
        <w:tc>
          <w:tcPr>
            <w:tcW w:type="dxa" w:w="276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Phase 2 — Q3 2026</w:t>
            </w:r>
          </w:p>
        </w:tc>
      </w:tr>
      <w:tr>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Distributed tracing in SDK</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High</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High</w:t>
            </w:r>
          </w:p>
        </w:tc>
        <w:tc>
          <w:tcPr>
            <w:tcW w:type="dxa" w:w="1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5</w:t>
            </w:r>
          </w:p>
        </w:tc>
        <w:tc>
          <w:tcPr>
            <w:tcW w:type="dxa" w:w="276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Phase 3 — Q4 2026</w:t>
            </w:r>
          </w:p>
        </w:tc>
      </w:tr>
      <w:tr>
        <w:tc>
          <w:tcPr>
            <w:tcW w:type="dxa" w:w="2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Desktop-grade GUI polish (multi-tab sessions, diffs, refactors)</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Medium</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High</w:t>
            </w:r>
          </w:p>
        </w:tc>
        <w:tc>
          <w:tcPr>
            <w:tcW w:type="dxa" w:w="1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6</w:t>
            </w:r>
          </w:p>
        </w:tc>
        <w:tc>
          <w:tcPr>
            <w:tcW w:type="dxa" w:w="276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Phase 3 — Q4 2026</w:t>
            </w:r>
          </w:p>
        </w:tc>
      </w:tr>
    </w:tbl>
    <w:p>
      <w:pPr>
        <w:spacing w:after="140"/>
      </w:pPr>
      <w:r>
        <w:rPr>
          <w:color w:val="1E293B"/>
        </w:rPr>
        <w:t xml:space="preserve"> </w:t>
      </w:r>
    </w:p>
    <w:p>
      <w:pPr>
        <w:spacing w:after="140"/>
      </w:pPr>
      <w:r>
        <w:rPr>
          <w:b/>
          <w:bCs/>
          <w:color w:val="1E293B"/>
        </w:rPr>
        <w:t xml:space="preserve">Kill criteria. </w:t>
      </w:r>
      <w:r>
        <w:rPr>
          <w:color w:val="1E293B"/>
        </w:rPr>
        <w:t xml:space="preserve">If a gap does not demonstrably move win-rate within one quarter of shipping, deprioritize the follow-on work. Distributed tracing in particular must clear a ‘≥30% of pilot customers ask for it’ bar before Phase 3 work begins.</w:t>
      </w:r>
    </w:p>
    <w:p>
      <w:pPr>
        <w:pStyle w:val="Heading1"/>
      </w:pPr>
      <w:r>
        <w:rPr>
          <w:b/>
          <w:bCs/>
          <w:color w:val="0A2540"/>
        </w:rPr>
        <w:t xml:space="preserve">4. Phase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c>
          <w:tcPr>
            <w:tcW w:type="dxa" w:w="15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Phase</w:t>
            </w:r>
          </w:p>
        </w:tc>
        <w:tc>
          <w:tcPr>
            <w:tcW w:type="dxa" w:w="24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Focus</w:t>
            </w:r>
          </w:p>
        </w:tc>
        <w:tc>
          <w:tcPr>
            <w:tcW w:type="dxa" w:w="24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Exit criteria</w:t>
            </w:r>
          </w:p>
        </w:tc>
        <w:tc>
          <w:tcPr>
            <w:tcW w:type="dxa" w:w="306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Competitor message</w:t>
            </w:r>
          </w:p>
        </w:tc>
      </w:tr>
      <w:tr>
        <w:tc>
          <w:tcPr>
            <w:tcW w:type="dxa" w:w="15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Phase 1
Q2 2026</w:t>
            </w:r>
          </w:p>
        </w:tc>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Ship integration fan-out; close SOC2 Type II; expose SAML SSO and audit export.</w:t>
            </w:r>
          </w:p>
        </w:tc>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Native routing to 5 alert destinations; SOC2 report in hand; 3 enterprise deals unblocked.</w:t>
            </w:r>
          </w:p>
        </w:tc>
        <w:tc>
          <w:tcPr>
            <w:tcW w:type="dxa" w:w="306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“FATHOM fits your existing on-call stack. Your CISO has no excuse to say no.”</w:t>
            </w:r>
          </w:p>
        </w:tc>
      </w:tr>
      <w:tr>
        <w:tc>
          <w:tcPr>
            <w:tcW w:type="dxa" w:w="15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Phase 2
Q3 2026</w:t>
            </w:r>
          </w:p>
        </w:tc>
        <w:tc>
          <w:tcPr>
            <w:tcW w:type="dxa" w:w="2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Release Python + Go SDKs; ship Postgres plan-diff and index advisor.</w:t>
            </w:r>
          </w:p>
        </w:tc>
        <w:tc>
          <w:tcPr>
            <w:tcW w:type="dxa" w:w="24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60% of ingest volume from non-JS SDKs; pganalyze replaced in ≥3 reference customers.</w:t>
            </w:r>
          </w:p>
        </w:tc>
        <w:tc>
          <w:tcPr>
            <w:tcW w:type="dxa" w:w="306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“Every language your team writes, every database your team runs — one dashboard.”</w:t>
            </w:r>
          </w:p>
        </w:tc>
      </w:tr>
      <w:tr>
        <w:tc>
          <w:tcPr>
            <w:tcW w:type="dxa" w:w="15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Phase 3
Q4 2026</w:t>
            </w:r>
          </w:p>
        </w:tc>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Add distributed tracing in SDK; invest in query-editor UX parity (tabs, diffs, history).</w:t>
            </w:r>
          </w:p>
        </w:tc>
        <w:tc>
          <w:tcPr>
            <w:tcW w:type="dxa" w:w="24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Trace-based alerting live; GUI NPS within 10 points of TablePlus / DataGrip.</w:t>
            </w:r>
          </w:p>
        </w:tc>
        <w:tc>
          <w:tcPr>
            <w:tcW w:type="dxa" w:w="306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“You don’t need Datadog APM or DataGrip anymore. FATHOM is the whole stack.”</w:t>
            </w:r>
          </w:p>
        </w:tc>
      </w:tr>
    </w:tbl>
    <w:p>
      <w:pPr>
        <w:pStyle w:val="Heading1"/>
      </w:pPr>
      <w:r>
        <w:rPr>
          <w:b/>
          <w:bCs/>
          <w:color w:val="0A2540"/>
        </w:rPr>
        <w:t xml:space="preserve">5. Phase 1 — land the table stakes (Q2 2026)</w:t>
      </w:r>
    </w:p>
    <w:p>
      <w:pPr>
        <w:spacing w:after="140"/>
      </w:pPr>
      <w:r>
        <w:rPr>
          <w:color w:val="1E293B"/>
        </w:rPr>
        <w:t xml:space="preserve">Phase 1 exists to stop losing deals we should already be winning. Every item here is a known procurement blocker with a well-understood implementation path. None of it is research — it is execution.</w:t>
      </w:r>
    </w:p>
    <w:p>
      <w:pPr>
        <w:pStyle w:val="Heading2"/>
      </w:pPr>
      <w:r>
        <w:rPr>
          <w:b/>
          <w:bCs/>
          <w:color w:val="065A82"/>
        </w:rPr>
        <w:t xml:space="preserve">5.1 Integration fan-out</w:t>
      </w:r>
    </w:p>
    <w:p>
      <w:pPr>
        <w:spacing w:after="140"/>
      </w:pPr>
      <w:r>
        <w:rPr>
          <w:b/>
          <w:bCs/>
          <w:color w:val="1E293B"/>
        </w:rPr>
        <w:t xml:space="preserve">What: </w:t>
      </w:r>
      <w:r>
        <w:rPr>
          <w:color w:val="1E293B"/>
        </w:rPr>
        <w:t xml:space="preserve">Native outbound webhook adapters plus first-party integrations for PagerDuty, Opsgenie, Slack, Microsoft Teams, and Jira. Reuse the existing alert engine; add a routing layer and a tiny provider-plugin interface.</w:t>
      </w:r>
    </w:p>
    <w:p>
      <w:pPr>
        <w:spacing w:after="140"/>
      </w:pPr>
      <w:r>
        <w:rPr>
          <w:b/>
          <w:bCs/>
          <w:color w:val="1E293B"/>
        </w:rPr>
        <w:t xml:space="preserve">Why: </w:t>
      </w:r>
      <w:r>
        <w:rPr>
          <w:color w:val="1E293B"/>
        </w:rPr>
        <w:t xml:space="preserve">Every serious competitor ships these. Today FATHOM’s alert fan-out is email + cron hook only, which is an auto-disqualification in any team that already owns a pager rotation.</w:t>
      </w:r>
    </w:p>
    <w:p>
      <w:pPr>
        <w:pStyle w:val="Heading3"/>
      </w:pPr>
      <w:r>
        <w:rPr>
          <w:b/>
          <w:bCs/>
          <w:color w:val="1E293B"/>
        </w:rPr>
        <w:t xml:space="preserve">Deliverables</w:t>
      </w:r>
    </w:p>
    <w:p>
      <w:pPr>
        <w:pStyle w:val="ListParagraph"/>
        <w:numPr>
          <w:ilvl w:val="0"/>
          <w:numId w:val="2"/>
        </w:numPr>
      </w:pPr>
      <w:r>
        <w:rPr>
          <w:color w:val="1E293B"/>
        </w:rPr>
        <w:t xml:space="preserve">Provider registry in backend (/backend/integrations/) with a pluggable interface: authenticate, send(payload), test(connection).</w:t>
      </w:r>
    </w:p>
    <w:p>
      <w:pPr>
        <w:pStyle w:val="ListParagraph"/>
        <w:numPr>
          <w:ilvl w:val="0"/>
          <w:numId w:val="2"/>
        </w:numPr>
      </w:pPr>
      <w:r>
        <w:rPr>
          <w:color w:val="1E293B"/>
        </w:rPr>
        <w:t xml:space="preserve">First five providers: PagerDuty (Events API v2), Opsgenie, Slack (incoming webhooks + Block Kit), Microsoft Teams (webhook), Jira (issue create).</w:t>
      </w:r>
    </w:p>
    <w:p>
      <w:pPr>
        <w:pStyle w:val="ListParagraph"/>
        <w:numPr>
          <w:ilvl w:val="0"/>
          <w:numId w:val="2"/>
        </w:numPr>
      </w:pPr>
      <w:r>
        <w:rPr>
          <w:color w:val="1E293B"/>
        </w:rPr>
        <w:t xml:space="preserve">Frontend: per-org “Integrations” settings page with a connect / test / route flow.</w:t>
      </w:r>
    </w:p>
    <w:p>
      <w:pPr>
        <w:pStyle w:val="ListParagraph"/>
        <w:numPr>
          <w:ilvl w:val="0"/>
          <w:numId w:val="2"/>
        </w:numPr>
      </w:pPr>
      <w:r>
        <w:rPr>
          <w:color w:val="1E293B"/>
        </w:rPr>
        <w:t xml:space="preserve">Alert rule schema extended with a destinations[] array (one rule → many destinations, with templating).</w:t>
      </w:r>
    </w:p>
    <w:p>
      <w:pPr>
        <w:pStyle w:val="ListParagraph"/>
        <w:numPr>
          <w:ilvl w:val="0"/>
          <w:numId w:val="2"/>
        </w:numPr>
      </w:pPr>
      <w:r>
        <w:rPr>
          <w:color w:val="1E293B"/>
        </w:rPr>
        <w:t xml:space="preserve">SDK surface unchanged — this is entirely a control-plane feature.</w:t>
      </w:r>
    </w:p>
    <w:p>
      <w:pPr>
        <w:pStyle w:val="Heading3"/>
      </w:pPr>
      <w:r>
        <w:rPr>
          <w:b/>
          <w:bCs/>
          <w:color w:val="1E293B"/>
        </w:rPr>
        <w:t xml:space="preserve">Success metrics</w:t>
      </w:r>
    </w:p>
    <w:p>
      <w:pPr>
        <w:pStyle w:val="ListParagraph"/>
        <w:numPr>
          <w:ilvl w:val="0"/>
          <w:numId w:val="2"/>
        </w:numPr>
      </w:pPr>
      <w:r>
        <w:rPr>
          <w:color w:val="1E293B"/>
        </w:rPr>
        <w:t xml:space="preserve">≥60% of active orgs have connected at least one non-email destination within 30 days of launch.</w:t>
      </w:r>
    </w:p>
    <w:p>
      <w:pPr>
        <w:pStyle w:val="ListParagraph"/>
        <w:numPr>
          <w:ilvl w:val="0"/>
          <w:numId w:val="2"/>
        </w:numPr>
      </w:pPr>
      <w:r>
        <w:rPr>
          <w:color w:val="1E293B"/>
        </w:rPr>
        <w:t xml:space="preserve">≥3 enterprise sales deals previously stalled on “no PagerDuty” close within 90 days.</w:t>
      </w:r>
    </w:p>
    <w:p>
      <w:pPr>
        <w:pStyle w:val="ListParagraph"/>
        <w:numPr>
          <w:ilvl w:val="0"/>
          <w:numId w:val="2"/>
        </w:numPr>
      </w:pPr>
      <w:r>
        <w:rPr>
          <w:color w:val="1E293B"/>
        </w:rPr>
        <w:t xml:space="preserve">Zero P0 incidents from misrouted alerts in the first 60 days.</w:t>
      </w:r>
    </w:p>
    <w:p>
      <w:pPr>
        <w:pStyle w:val="Heading3"/>
      </w:pPr>
      <w:r>
        <w:rPr>
          <w:b/>
          <w:bCs/>
          <w:color w:val="1E293B"/>
        </w:rPr>
        <w:t xml:space="preserve">Rough effort</w:t>
      </w:r>
    </w:p>
    <w:p>
      <w:pPr>
        <w:spacing w:after="140"/>
      </w:pPr>
      <w:r>
        <w:rPr>
          <w:color w:val="1E293B"/>
        </w:rPr>
        <w:t xml:space="preserve">2 backend engineers × 6 weeks + 1 frontend engineer × 4 weeks. Design partner: one existing Enterprise-track customer to co-build the routing UX.</w:t>
      </w:r>
    </w:p>
    <w:p>
      <w:pPr>
        <w:pStyle w:val="Heading2"/>
      </w:pPr>
      <w:r>
        <w:rPr>
          <w:b/>
          <w:bCs/>
          <w:color w:val="065A82"/>
        </w:rPr>
        <w:t xml:space="preserve">5.2 Enterprise trust (SOC2, SSO, audit export)</w:t>
      </w:r>
    </w:p>
    <w:p>
      <w:pPr>
        <w:spacing w:after="140"/>
      </w:pPr>
      <w:r>
        <w:rPr>
          <w:b/>
          <w:bCs/>
          <w:color w:val="1E293B"/>
        </w:rPr>
        <w:t xml:space="preserve">What: </w:t>
      </w:r>
      <w:r>
        <w:rPr>
          <w:color w:val="1E293B"/>
        </w:rPr>
        <w:t xml:space="preserve">Finalize the SOC2 Type II audit against the existing controls checklist (FATHOM_SOC2_Controls_Checklist.md), ship SAML 2.0 SSO (Okta / Entra / Google Workspace), and expose a tenant-scoped audit log export (JSON + CSV, signed URLs).</w:t>
      </w:r>
    </w:p>
    <w:p>
      <w:pPr>
        <w:spacing w:after="140"/>
      </w:pPr>
      <w:r>
        <w:rPr>
          <w:b/>
          <w:bCs/>
          <w:color w:val="1E293B"/>
        </w:rPr>
        <w:t xml:space="preserve">Why: </w:t>
      </w:r>
      <w:r>
        <w:rPr>
          <w:color w:val="1E293B"/>
        </w:rPr>
        <w:t xml:space="preserve">Procurement teams gate these three items. Without them FATHOM does not reach the evaluation phase at companies above ~200 employees. Running this in parallel with integration work means Phase 1 exits with both product and procurement objections closed simultaneously.</w:t>
      </w:r>
    </w:p>
    <w:p>
      <w:pPr>
        <w:pStyle w:val="Heading3"/>
      </w:pPr>
      <w:r>
        <w:rPr>
          <w:b/>
          <w:bCs/>
          <w:color w:val="1E293B"/>
        </w:rPr>
        <w:t xml:space="preserve">Deliverables</w:t>
      </w:r>
    </w:p>
    <w:p>
      <w:pPr>
        <w:pStyle w:val="ListParagraph"/>
        <w:numPr>
          <w:ilvl w:val="0"/>
          <w:numId w:val="2"/>
        </w:numPr>
      </w:pPr>
      <w:r>
        <w:rPr>
          <w:color w:val="1E293B"/>
        </w:rPr>
        <w:t xml:space="preserve">SOC2 Type II report with no findings in trust services criteria.</w:t>
      </w:r>
    </w:p>
    <w:p>
      <w:pPr>
        <w:pStyle w:val="ListParagraph"/>
        <w:numPr>
          <w:ilvl w:val="0"/>
          <w:numId w:val="2"/>
        </w:numPr>
      </w:pPr>
      <w:r>
        <w:rPr>
          <w:color w:val="1E293B"/>
        </w:rPr>
        <w:t xml:space="preserve">SAML SSO via a standard library (passport-saml or equivalent), with SCIM 2.0 user provisioning as a stretch goal.</w:t>
      </w:r>
    </w:p>
    <w:p>
      <w:pPr>
        <w:pStyle w:val="ListParagraph"/>
        <w:numPr>
          <w:ilvl w:val="0"/>
          <w:numId w:val="2"/>
        </w:numPr>
      </w:pPr>
      <w:r>
        <w:rPr>
          <w:color w:val="1E293B"/>
        </w:rPr>
        <w:t xml:space="preserve">Audit log endpoint: GET /api/audit/export?from=...&amp;to=..., with signed URLs for async downloads of large exports.</w:t>
      </w:r>
    </w:p>
    <w:p>
      <w:pPr>
        <w:pStyle w:val="ListParagraph"/>
        <w:numPr>
          <w:ilvl w:val="0"/>
          <w:numId w:val="2"/>
        </w:numPr>
      </w:pPr>
      <w:r>
        <w:rPr>
          <w:color w:val="1E293B"/>
        </w:rPr>
        <w:t xml:space="preserve">Pen-test scheduled for the last two weeks of the phase; findings triaged before GA.</w:t>
      </w:r>
    </w:p>
    <w:p>
      <w:pPr>
        <w:pStyle w:val="Heading3"/>
      </w:pPr>
      <w:r>
        <w:rPr>
          <w:b/>
          <w:bCs/>
          <w:color w:val="1E293B"/>
        </w:rPr>
        <w:t xml:space="preserve">Rough effort</w:t>
      </w:r>
    </w:p>
    <w:p>
      <w:pPr>
        <w:spacing w:after="140"/>
      </w:pPr>
      <w:r>
        <w:rPr>
          <w:color w:val="1E293B"/>
        </w:rPr>
        <w:t xml:space="preserve">1 backend engineer × 8 weeks for SSO + audit export. SOC2 audit timeline is external (auditor-driven); target report availability end of Q2.</w:t>
      </w:r>
    </w:p>
    <w:p>
      <w:pPr>
        <w:pStyle w:val="Heading1"/>
      </w:pPr>
      <w:r>
        <w:rPr>
          <w:b/>
          <w:bCs/>
          <w:color w:val="0A2540"/>
        </w:rPr>
        <w:t xml:space="preserve">6. Phase 2 — expand the ingest and DB surfaces (Q3 2026)</w:t>
      </w:r>
    </w:p>
    <w:p>
      <w:pPr>
        <w:spacing w:after="140"/>
      </w:pPr>
      <w:r>
        <w:rPr>
          <w:color w:val="1E293B"/>
        </w:rPr>
        <w:t xml:space="preserve">With Phase 1 removing the easy objections, Phase 2 deepens the two surfaces most visible during product evaluation: the ingest SDK and Postgres depth. The explicit goal is to make FATHOM replaceable for pganalyze in Postgres-heavy teams and to make the SDK a viable replacement for Sentry for JS + Python + Go shops.</w:t>
      </w:r>
    </w:p>
    <w:p>
      <w:pPr>
        <w:pStyle w:val="Heading2"/>
      </w:pPr>
      <w:r>
        <w:rPr>
          <w:b/>
          <w:bCs/>
          <w:color w:val="065A82"/>
        </w:rPr>
        <w:t xml:space="preserve">6.1 Multi-language SDK</w:t>
      </w:r>
    </w:p>
    <w:p>
      <w:pPr>
        <w:spacing w:after="140"/>
      </w:pPr>
      <w:r>
        <w:rPr>
          <w:b/>
          <w:bCs/>
          <w:color w:val="1E293B"/>
        </w:rPr>
        <w:t xml:space="preserve">What: </w:t>
      </w:r>
      <w:r>
        <w:rPr>
          <w:color w:val="1E293B"/>
        </w:rPr>
        <w:t xml:space="preserve">Port the JS SDK shape to Python and Go first, then Java. Keep the same event model (logs, errors, audits), the same HTTP ingest endpoint, and the same auth (API key + orgId). Ship language-native integrations for the top framework per language (FastAPI/Django for Python, net/http + Gin for Go, Spring Boot for Java).</w:t>
      </w:r>
    </w:p>
    <w:p>
      <w:pPr>
        <w:spacing w:after="140"/>
      </w:pPr>
      <w:r>
        <w:rPr>
          <w:b/>
          <w:bCs/>
          <w:color w:val="1E293B"/>
        </w:rPr>
        <w:t xml:space="preserve">Why: </w:t>
      </w:r>
      <w:r>
        <w:rPr>
          <w:color w:val="1E293B"/>
        </w:rPr>
        <w:t xml:space="preserve">JS-only limits FATHOM to one half of a team’s stack. Adding Python + Go covers ~80% of backend services in mid-market. Java unblocks financial-services and healthcare buyers.</w:t>
      </w:r>
    </w:p>
    <w:p>
      <w:pPr>
        <w:pStyle w:val="Heading3"/>
      </w:pPr>
      <w:r>
        <w:rPr>
          <w:b/>
          <w:bCs/>
          <w:color w:val="1E293B"/>
        </w:rPr>
        <w:t xml:space="preserve">Deliverables</w:t>
      </w:r>
    </w:p>
    <w:p>
      <w:pPr>
        <w:pStyle w:val="ListParagraph"/>
        <w:numPr>
          <w:ilvl w:val="0"/>
          <w:numId w:val="2"/>
        </w:numPr>
      </w:pPr>
      <w:r>
        <w:rPr>
          <w:color w:val="1E293B"/>
        </w:rPr>
        <w:t xml:space="preserve">@fathom/python and @fathom/go at feature parity with the JS SDK.</w:t>
      </w:r>
    </w:p>
    <w:p>
      <w:pPr>
        <w:pStyle w:val="ListParagraph"/>
        <w:numPr>
          <w:ilvl w:val="0"/>
          <w:numId w:val="2"/>
        </w:numPr>
      </w:pPr>
      <w:r>
        <w:rPr>
          <w:color w:val="1E293B"/>
        </w:rPr>
        <w:t xml:space="preserve">Shared OpenAPI spec driving language-specific code-gen for the wire types.</w:t>
      </w:r>
    </w:p>
    <w:p>
      <w:pPr>
        <w:pStyle w:val="ListParagraph"/>
        <w:numPr>
          <w:ilvl w:val="0"/>
          <w:numId w:val="2"/>
        </w:numPr>
      </w:pPr>
      <w:r>
        <w:rPr>
          <w:color w:val="1E293B"/>
        </w:rPr>
        <w:t xml:space="preserve">Example apps in docs/demo/ for each language.</w:t>
      </w:r>
    </w:p>
    <w:p>
      <w:pPr>
        <w:pStyle w:val="ListParagraph"/>
        <w:numPr>
          <w:ilvl w:val="0"/>
          <w:numId w:val="2"/>
        </w:numPr>
      </w:pPr>
      <w:r>
        <w:rPr>
          <w:color w:val="1E293B"/>
        </w:rPr>
        <w:t xml:space="preserve">@fathom/java in public beta by end of phase.</w:t>
      </w:r>
    </w:p>
    <w:p>
      <w:pPr>
        <w:pStyle w:val="Heading3"/>
      </w:pPr>
      <w:r>
        <w:rPr>
          <w:b/>
          <w:bCs/>
          <w:color w:val="1E293B"/>
        </w:rPr>
        <w:t xml:space="preserve">Rough effort</w:t>
      </w:r>
    </w:p>
    <w:p>
      <w:pPr>
        <w:spacing w:after="140"/>
      </w:pPr>
      <w:r>
        <w:rPr>
          <w:color w:val="1E293B"/>
        </w:rPr>
        <w:t xml:space="preserve">1 engineer per language, 6 weeks each. Can be parallelized across two contractors if internal bandwidth is constrained.</w:t>
      </w:r>
    </w:p>
    <w:p>
      <w:pPr>
        <w:pStyle w:val="Heading2"/>
      </w:pPr>
      <w:r>
        <w:rPr>
          <w:b/>
          <w:bCs/>
          <w:color w:val="065A82"/>
        </w:rPr>
        <w:t xml:space="preserve">6.2 Postgres depth</w:t>
      </w:r>
    </w:p>
    <w:p>
      <w:pPr>
        <w:spacing w:after="140"/>
      </w:pPr>
      <w:r>
        <w:rPr>
          <w:b/>
          <w:bCs/>
          <w:color w:val="1E293B"/>
        </w:rPr>
        <w:t xml:space="preserve">What: </w:t>
      </w:r>
      <w:r>
        <w:rPr>
          <w:color w:val="1E293B"/>
        </w:rPr>
        <w:t xml:space="preserve">Add plan-diffing (compare EXPLAIN ANALYZE across runs), an index advisor (suggest missing or redundant indexes from pg_stat_statements), and a vacuum/bloat watcher. Use the Python analytics worker already in the stack for the ML-leaning pieces.</w:t>
      </w:r>
    </w:p>
    <w:p>
      <w:pPr>
        <w:spacing w:after="140"/>
      </w:pPr>
      <w:r>
        <w:rPr>
          <w:b/>
          <w:bCs/>
          <w:color w:val="1E293B"/>
        </w:rPr>
        <w:t xml:space="preserve">Why: </w:t>
      </w:r>
      <w:r>
        <w:rPr>
          <w:color w:val="1E293B"/>
        </w:rPr>
        <w:t xml:space="preserve">pganalyze is the single most-cited reason Postgres-heavy teams keep a separate monitoring vendor. Closing the distance does not require beating pganalyze outright — only enough depth that the unification wedge overcomes the remaining gap.</w:t>
      </w:r>
    </w:p>
    <w:p>
      <w:pPr>
        <w:pStyle w:val="Heading3"/>
      </w:pPr>
      <w:r>
        <w:rPr>
          <w:b/>
          <w:bCs/>
          <w:color w:val="1E293B"/>
        </w:rPr>
        <w:t xml:space="preserve">Deliverables</w:t>
      </w:r>
    </w:p>
    <w:p>
      <w:pPr>
        <w:pStyle w:val="ListParagraph"/>
        <w:numPr>
          <w:ilvl w:val="0"/>
          <w:numId w:val="2"/>
        </w:numPr>
      </w:pPr>
      <w:r>
        <w:rPr>
          <w:color w:val="1E293B"/>
        </w:rPr>
        <w:t xml:space="preserve">Query page: shows top queries with plan history and side-by-side plan diffs.</w:t>
      </w:r>
    </w:p>
    <w:p>
      <w:pPr>
        <w:pStyle w:val="ListParagraph"/>
        <w:numPr>
          <w:ilvl w:val="0"/>
          <w:numId w:val="2"/>
        </w:numPr>
      </w:pPr>
      <w:r>
        <w:rPr>
          <w:color w:val="1E293B"/>
        </w:rPr>
        <w:t xml:space="preserve">Index advisor page: ranked suggestions with estimated impact; copyable CREATE INDEX statements.</w:t>
      </w:r>
    </w:p>
    <w:p>
      <w:pPr>
        <w:pStyle w:val="ListParagraph"/>
        <w:numPr>
          <w:ilvl w:val="0"/>
          <w:numId w:val="2"/>
        </w:numPr>
      </w:pPr>
      <w:r>
        <w:rPr>
          <w:color w:val="1E293B"/>
        </w:rPr>
        <w:t xml:space="preserve">Bloat / vacuum dashboard with alerts on table and index bloat thresholds.</w:t>
      </w:r>
    </w:p>
    <w:p>
      <w:pPr>
        <w:pStyle w:val="Heading3"/>
      </w:pPr>
      <w:r>
        <w:rPr>
          <w:b/>
          <w:bCs/>
          <w:color w:val="1E293B"/>
        </w:rPr>
        <w:t xml:space="preserve">Rough effort</w:t>
      </w:r>
    </w:p>
    <w:p>
      <w:pPr>
        <w:spacing w:after="140"/>
      </w:pPr>
      <w:r>
        <w:rPr>
          <w:color w:val="1E293B"/>
        </w:rPr>
        <w:t xml:space="preserve">1 backend engineer + the existing Python worker + 1 frontend engineer × 10 weeks.</w:t>
      </w:r>
    </w:p>
    <w:p>
      <w:pPr>
        <w:pStyle w:val="Heading1"/>
      </w:pPr>
      <w:r>
        <w:rPr>
          <w:b/>
          <w:bCs/>
          <w:color w:val="0A2540"/>
        </w:rPr>
        <w:t xml:space="preserve">7. Phase 3 — close the last premium gaps (Q4 2026)</w:t>
      </w:r>
    </w:p>
    <w:p>
      <w:pPr>
        <w:spacing w:after="140"/>
      </w:pPr>
      <w:r>
        <w:rPr>
          <w:color w:val="1E293B"/>
        </w:rPr>
        <w:t xml:space="preserve">Phase 3 takes on the two most expensive items on the list. Do not begin Phase 3 work until Phase 2 exit criteria are met; both of these features reward timing (arriving when customers are already happy) more than they reward novelty.</w:t>
      </w:r>
    </w:p>
    <w:p>
      <w:pPr>
        <w:pStyle w:val="Heading2"/>
      </w:pPr>
      <w:r>
        <w:rPr>
          <w:b/>
          <w:bCs/>
          <w:color w:val="065A82"/>
        </w:rPr>
        <w:t xml:space="preserve">7.1 Distributed tracing in the SDK</w:t>
      </w:r>
    </w:p>
    <w:p>
      <w:pPr>
        <w:spacing w:after="140"/>
      </w:pPr>
      <w:r>
        <w:rPr>
          <w:b/>
          <w:bCs/>
          <w:color w:val="1E293B"/>
        </w:rPr>
        <w:t xml:space="preserve">What: </w:t>
      </w:r>
      <w:r>
        <w:rPr>
          <w:color w:val="1E293B"/>
        </w:rPr>
        <w:t xml:space="preserve">Adopt OpenTelemetry semantics in the SDK — spans, trace context, propagation headers — and route them through the existing ingest pipeline. Build a trace-viewer UI that renders span trees and lets users pivot from a slow DB query to the request that caused it.</w:t>
      </w:r>
    </w:p>
    <w:p>
      <w:pPr>
        <w:spacing w:after="140"/>
      </w:pPr>
      <w:r>
        <w:rPr>
          <w:b/>
          <w:bCs/>
          <w:color w:val="1E293B"/>
        </w:rPr>
        <w:t xml:space="preserve">Why: </w:t>
      </w:r>
      <w:r>
        <w:rPr>
          <w:color w:val="1E293B"/>
        </w:rPr>
        <w:t xml:space="preserve">Distributed tracing is the marquee APM feature. Shipping it turns FATHOM from “logs + DB” into a real alternative to Datadog APM and Sentry Performance. The catch: it is expensive to build well and even more expensive to store at scale.</w:t>
      </w:r>
    </w:p>
    <w:p>
      <w:pPr>
        <w:pStyle w:val="Heading3"/>
      </w:pPr>
      <w:r>
        <w:rPr>
          <w:b/>
          <w:bCs/>
          <w:color w:val="1E293B"/>
        </w:rPr>
        <w:t xml:space="preserve">Deliverables</w:t>
      </w:r>
    </w:p>
    <w:p>
      <w:pPr>
        <w:pStyle w:val="ListParagraph"/>
        <w:numPr>
          <w:ilvl w:val="0"/>
          <w:numId w:val="2"/>
        </w:numPr>
      </w:pPr>
      <w:r>
        <w:rPr>
          <w:color w:val="1E293B"/>
        </w:rPr>
        <w:t xml:space="preserve">OpenTelemetry-compatible ingest endpoint (OTLP/HTTP).</w:t>
      </w:r>
    </w:p>
    <w:p>
      <w:pPr>
        <w:pStyle w:val="ListParagraph"/>
        <w:numPr>
          <w:ilvl w:val="0"/>
          <w:numId w:val="2"/>
        </w:numPr>
      </w:pPr>
      <w:r>
        <w:rPr>
          <w:color w:val="1E293B"/>
        </w:rPr>
        <w:t xml:space="preserve">Trace viewer with span-tree visualization and “why is this slow” pivots into DB query metrics.</w:t>
      </w:r>
    </w:p>
    <w:p>
      <w:pPr>
        <w:pStyle w:val="ListParagraph"/>
        <w:numPr>
          <w:ilvl w:val="0"/>
          <w:numId w:val="2"/>
        </w:numPr>
      </w:pPr>
      <w:r>
        <w:rPr>
          <w:color w:val="1E293B"/>
        </w:rPr>
        <w:t xml:space="preserve">Sampling / retention controls exposed per-org to manage cost.</w:t>
      </w:r>
    </w:p>
    <w:p>
      <w:pPr>
        <w:pStyle w:val="ListParagraph"/>
        <w:numPr>
          <w:ilvl w:val="0"/>
          <w:numId w:val="2"/>
        </w:numPr>
      </w:pPr>
      <w:r>
        <w:rPr>
          <w:color w:val="1E293B"/>
        </w:rPr>
        <w:t xml:space="preserve">Integrations with trace-first tools (Jaeger, Tempo) as import sources.</w:t>
      </w:r>
    </w:p>
    <w:p>
      <w:pPr>
        <w:pStyle w:val="Heading3"/>
      </w:pPr>
      <w:r>
        <w:rPr>
          <w:b/>
          <w:bCs/>
          <w:color w:val="1E293B"/>
        </w:rPr>
        <w:t xml:space="preserve">Rough effort</w:t>
      </w:r>
    </w:p>
    <w:p>
      <w:pPr>
        <w:spacing w:after="140"/>
      </w:pPr>
      <w:r>
        <w:rPr>
          <w:color w:val="1E293B"/>
        </w:rPr>
        <w:t xml:space="preserve">3 backend engineers × 12 weeks, plus storage cost modeling that likely forces an infrastructure change (move hot trace data to a columnar store such as ClickHouse). Treat this as a nine-month commitment once design is frozen.</w:t>
      </w:r>
    </w:p>
    <w:p>
      <w:pPr>
        <w:pStyle w:val="Heading2"/>
      </w:pPr>
      <w:r>
        <w:rPr>
          <w:b/>
          <w:bCs/>
          <w:color w:val="065A82"/>
        </w:rPr>
        <w:t xml:space="preserve">7.2 Desktop-grade GUI polish</w:t>
      </w:r>
    </w:p>
    <w:p>
      <w:pPr>
        <w:spacing w:after="140"/>
      </w:pPr>
      <w:r>
        <w:rPr>
          <w:b/>
          <w:bCs/>
          <w:color w:val="1E293B"/>
        </w:rPr>
        <w:t xml:space="preserve">What: </w:t>
      </w:r>
      <w:r>
        <w:rPr>
          <w:color w:val="1E293B"/>
        </w:rPr>
        <w:t xml:space="preserve">Multi-tab query sessions, query history per connection, schema and data diffs between environments, saved queries / snippets, and keyboard-shortcut parity with TablePlus and DataGrip.</w:t>
      </w:r>
    </w:p>
    <w:p>
      <w:pPr>
        <w:spacing w:after="140"/>
      </w:pPr>
      <w:r>
        <w:rPr>
          <w:b/>
          <w:bCs/>
          <w:color w:val="1E293B"/>
        </w:rPr>
        <w:t xml:space="preserve">Why: </w:t>
      </w:r>
      <w:r>
        <w:rPr>
          <w:color w:val="1E293B"/>
        </w:rPr>
        <w:t xml:space="preserve">Engineers live in these tools. Saving 10 seconds per query on a tool someone uses 200 times a day is the single highest-retention lever available. FATHOM’s GUI is capable but not yet loved.</w:t>
      </w:r>
    </w:p>
    <w:p>
      <w:pPr>
        <w:pStyle w:val="Heading3"/>
      </w:pPr>
      <w:r>
        <w:rPr>
          <w:b/>
          <w:bCs/>
          <w:color w:val="1E293B"/>
        </w:rPr>
        <w:t xml:space="preserve">Rough effort</w:t>
      </w:r>
    </w:p>
    <w:p>
      <w:pPr>
        <w:spacing w:after="140"/>
      </w:pPr>
      <w:r>
        <w:rPr>
          <w:color w:val="1E293B"/>
        </w:rPr>
        <w:t xml:space="preserve">2 frontend engineers × 10 weeks. Heavy usability testing with design-partner teams. Defer visual refactors (theming, density modes) until the interaction model is stable.</w:t>
      </w:r>
    </w:p>
    <w:p>
      <w:pPr>
        <w:pStyle w:val="Heading1"/>
      </w:pPr>
      <w:r>
        <w:rPr>
          <w:b/>
          <w:bCs/>
          <w:color w:val="0A2540"/>
        </w:rPr>
        <w:t xml:space="preserve">8. Success metrics and the scorecard</w:t>
      </w:r>
    </w:p>
    <w:p>
      <w:pPr>
        <w:spacing w:after="140"/>
      </w:pPr>
      <w:r>
        <w:rPr>
          <w:color w:val="1E293B"/>
        </w:rPr>
        <w:t xml:space="preserve">Each phase is measured on two leading indicators and one lagging indicator. Leading indicators are product-usage signals read from the FATHOM control plane; the lagging indicator is commercial win-rate. Publish the scorecard monthly to the exec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Phase</w:t>
            </w:r>
          </w:p>
        </w:tc>
        <w:tc>
          <w:tcPr>
            <w:tcW w:type="dxa" w:w="378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Leading indicators</w:t>
            </w:r>
          </w:p>
        </w:tc>
        <w:tc>
          <w:tcPr>
            <w:tcW w:type="dxa" w:w="3780"/>
            <w:tcBorders>
              <w:top w:val="single" w:color="CBD5E1" w:sz="6"/>
              <w:left w:val="single" w:color="CBD5E1" w:sz="6"/>
              <w:bottom w:val="single" w:color="CBD5E1" w:sz="6"/>
              <w:right w:val="single" w:color="CBD5E1" w:sz="6"/>
            </w:tcBorders>
            <w:shd w:fill="065A82" w:val="clear"/>
            <w:tcMar>
              <w:top w:type="dxa" w:w="100"/>
              <w:left w:type="dxa" w:w="140"/>
              <w:bottom w:type="dxa" w:w="100"/>
              <w:right w:type="dxa" w:w="140"/>
            </w:tcMar>
          </w:tcPr>
          <w:p>
            <w:r>
              <w:rPr>
                <w:b/>
                <w:bCs/>
                <w:color w:val="FFFFFF"/>
              </w:rPr>
              <w:t xml:space="preserve">Lagging indicator</w:t>
            </w:r>
          </w:p>
        </w:tc>
      </w:tr>
      <w:tr>
        <w:tc>
          <w:tcPr>
            <w:tcW w:type="dxa" w:w="18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Phase 1</w:t>
            </w:r>
          </w:p>
        </w:tc>
        <w:tc>
          <w:tcPr>
            <w:tcW w:type="dxa" w:w="378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≥60% of orgs have connected a non-email integration within 30 days of GA.  SOC2 report published.</w:t>
            </w:r>
          </w:p>
        </w:tc>
        <w:tc>
          <w:tcPr>
            <w:tcW w:type="dxa" w:w="378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Enterprise-segment win-rate improves from current baseline by ≥30 points within two quarters.</w:t>
            </w:r>
          </w:p>
        </w:tc>
      </w:tr>
      <w:tr>
        <w:tc>
          <w:tcPr>
            <w:tcW w:type="dxa" w:w="180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bCs/>
                <w:color w:val="1E293B"/>
              </w:rPr>
              <w:t xml:space="preserve">Phase 2</w:t>
            </w:r>
          </w:p>
        </w:tc>
        <w:tc>
          <w:tcPr>
            <w:tcW w:type="dxa" w:w="378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≥60% of SDK ingest volume comes from non-JS languages.  Plan-diff feature used by ≥40% of Postgres-connected orgs.</w:t>
            </w:r>
          </w:p>
        </w:tc>
        <w:tc>
          <w:tcPr>
            <w:tcW w:type="dxa" w:w="3780"/>
            <w:tcBorders>
              <w:top w:val="single" w:color="CBD5E1" w:sz="6"/>
              <w:left w:val="single" w:color="CBD5E1" w:sz="6"/>
              <w:bottom w:val="single" w:color="CBD5E1" w:sz="6"/>
              <w:right w:val="single" w:color="CBD5E1" w:sz="6"/>
            </w:tcBorders>
            <w:tcMar>
              <w:top w:type="dxa" w:w="80"/>
              <w:left w:type="dxa" w:w="140"/>
              <w:bottom w:type="dxa" w:w="80"/>
              <w:right w:type="dxa" w:w="140"/>
            </w:tcMar>
          </w:tcPr>
          <w:p>
            <w:r>
              <w:rPr>
                <w:b w:val="false"/>
                <w:bCs w:val="false"/>
                <w:color w:val="1E293B"/>
              </w:rPr>
              <w:t xml:space="preserve">≥3 reference customers move off pganalyze; ≥5 reference customers consolidate two observability vendors into FATHOM.</w:t>
            </w:r>
          </w:p>
        </w:tc>
      </w:tr>
      <w:tr>
        <w:tc>
          <w:tcPr>
            <w:tcW w:type="dxa" w:w="180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bCs/>
                <w:color w:val="1E293B"/>
              </w:rPr>
              <w:t xml:space="preserve">Phase 3</w:t>
            </w:r>
          </w:p>
        </w:tc>
        <w:tc>
          <w:tcPr>
            <w:tcW w:type="dxa" w:w="378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Tracing in use by ≥30% of active orgs within 60 days of GA.  GUI session length grows ≥40% week-over-week in design-partner cohort.</w:t>
            </w:r>
          </w:p>
        </w:tc>
        <w:tc>
          <w:tcPr>
            <w:tcW w:type="dxa" w:w="3780"/>
            <w:tcBorders>
              <w:top w:val="single" w:color="CBD5E1" w:sz="6"/>
              <w:left w:val="single" w:color="CBD5E1" w:sz="6"/>
              <w:bottom w:val="single" w:color="CBD5E1" w:sz="6"/>
              <w:right w:val="single" w:color="CBD5E1" w:sz="6"/>
            </w:tcBorders>
            <w:shd w:fill="F6F8FA" w:val="clear"/>
            <w:tcMar>
              <w:top w:type="dxa" w:w="80"/>
              <w:left w:type="dxa" w:w="140"/>
              <w:bottom w:type="dxa" w:w="80"/>
              <w:right w:type="dxa" w:w="140"/>
            </w:tcMar>
          </w:tcPr>
          <w:p>
            <w:r>
              <w:rPr>
                <w:b w:val="false"/>
                <w:bCs w:val="false"/>
                <w:color w:val="1E293B"/>
              </w:rPr>
              <w:t xml:space="preserve">ARR per customer grows ≥25% as tracing / APM attach rate rises; Datadog displacements close-won for the first time.</w:t>
            </w:r>
          </w:p>
        </w:tc>
      </w:tr>
    </w:tbl>
    <w:p>
      <w:pPr>
        <w:pStyle w:val="Heading1"/>
      </w:pPr>
      <w:r>
        <w:rPr>
          <w:b/>
          <w:bCs/>
          <w:color w:val="0A2540"/>
        </w:rPr>
        <w:t xml:space="preserve">9. Risks and mitigations</w:t>
      </w:r>
    </w:p>
    <w:p>
      <w:pPr>
        <w:pStyle w:val="ListParagraph"/>
        <w:numPr>
          <w:ilvl w:val="0"/>
          <w:numId w:val="2"/>
        </w:numPr>
      </w:pPr>
      <w:r>
        <w:rPr>
          <w:b/>
          <w:bCs/>
          <w:color w:val="1E293B"/>
        </w:rPr>
        <w:t xml:space="preserve">Scope creep into enterprise parity. </w:t>
      </w:r>
      <w:r>
        <w:rPr>
          <w:color w:val="1E293B"/>
        </w:rPr>
        <w:t xml:space="preserve">Every integration conversation surfaces a long tail of “and also support X.” Defend the top-five list for Phase 1 and ship a generic webhook provider that covers the rest without bespoke work.</w:t>
      </w:r>
    </w:p>
    <w:p>
      <w:pPr>
        <w:pStyle w:val="ListParagraph"/>
        <w:numPr>
          <w:ilvl w:val="0"/>
          <w:numId w:val="2"/>
        </w:numPr>
      </w:pPr>
      <w:r>
        <w:rPr>
          <w:b/>
          <w:bCs/>
          <w:color w:val="1E293B"/>
        </w:rPr>
        <w:t xml:space="preserve">Storage economics on tracing. </w:t>
      </w:r>
      <w:r>
        <w:rPr>
          <w:color w:val="1E293B"/>
        </w:rPr>
        <w:t xml:space="preserve">Traces are 10–20x the volume of logs. Model the infra cost before committing to Phase 3; be willing to change storage engines (ClickHouse or similar) rather than absorbing DynamoDB-on-fire pricing.</w:t>
      </w:r>
    </w:p>
    <w:p>
      <w:pPr>
        <w:pStyle w:val="ListParagraph"/>
        <w:numPr>
          <w:ilvl w:val="0"/>
          <w:numId w:val="2"/>
        </w:numPr>
      </w:pPr>
      <w:r>
        <w:rPr>
          <w:b/>
          <w:bCs/>
          <w:color w:val="1E293B"/>
        </w:rPr>
        <w:t xml:space="preserve">Parallel language-SDK drift. </w:t>
      </w:r>
      <w:r>
        <w:rPr>
          <w:color w:val="1E293B"/>
        </w:rPr>
        <w:t xml:space="preserve">Three SDKs will fork behavior unless driven by a shared spec. Invest early in an OpenAPI contract and code-gen to keep all languages lockstep.</w:t>
      </w:r>
    </w:p>
    <w:p>
      <w:pPr>
        <w:pStyle w:val="ListParagraph"/>
        <w:numPr>
          <w:ilvl w:val="0"/>
          <w:numId w:val="2"/>
        </w:numPr>
      </w:pPr>
      <w:r>
        <w:rPr>
          <w:b/>
          <w:bCs/>
          <w:color w:val="1E293B"/>
        </w:rPr>
        <w:t xml:space="preserve">Brand risk from shipping ‘APM-lite’. </w:t>
      </w:r>
      <w:r>
        <w:rPr>
          <w:color w:val="1E293B"/>
        </w:rPr>
        <w:t xml:space="preserve">If tracing ships undercooked, the story flips from “unified platform” to “Datadog but worse.” Kill Phase 3 rather than ship it at 60%.</w:t>
      </w:r>
    </w:p>
    <w:p>
      <w:pPr>
        <w:pStyle w:val="ListParagraph"/>
        <w:numPr>
          <w:ilvl w:val="0"/>
          <w:numId w:val="2"/>
        </w:numPr>
      </w:pPr>
      <w:r>
        <w:rPr>
          <w:b/>
          <w:bCs/>
          <w:color w:val="1E293B"/>
        </w:rPr>
        <w:t xml:space="preserve">Opportunity cost of GUI polish. </w:t>
      </w:r>
      <w:r>
        <w:rPr>
          <w:color w:val="1E293B"/>
        </w:rPr>
        <w:t xml:space="preserve">It is tempting to work on the query editor first because it is fun. Don’t. The integration + SOC2 work is unglamorous but unlocks more revenue per engineer-week.</w:t>
      </w:r>
    </w:p>
    <w:p>
      <w:pPr>
        <w:pStyle w:val="Heading1"/>
      </w:pPr>
      <w:r>
        <w:rPr>
          <w:b/>
          <w:bCs/>
          <w:color w:val="0A2540"/>
        </w:rPr>
        <w:t xml:space="preserve">10. What to do in the first week</w:t>
      </w:r>
    </w:p>
    <w:p>
      <w:pPr>
        <w:pStyle w:val="ListParagraph"/>
        <w:numPr>
          <w:ilvl w:val="0"/>
          <w:numId w:val="4"/>
        </w:numPr>
      </w:pPr>
      <w:r>
        <w:rPr>
          <w:color w:val="1E293B"/>
        </w:rPr>
        <w:t xml:space="preserve">Nominate a Phase 1 directly-responsible individual (DRI). One name, not a committee. They own integration fan-out and the SOC2 kickoff through Q2 GA.</w:t>
      </w:r>
    </w:p>
    <w:p>
      <w:pPr>
        <w:pStyle w:val="ListParagraph"/>
        <w:numPr>
          <w:ilvl w:val="0"/>
          <w:numId w:val="4"/>
        </w:numPr>
      </w:pPr>
      <w:r>
        <w:rPr>
          <w:color w:val="1E293B"/>
        </w:rPr>
        <w:t xml:space="preserve">Lock the top-five integrations list. PagerDuty, Slack, Teams, Jira, Opsgenie is the recommendation; if commercial data contradicts it, change it once and freeze.</w:t>
      </w:r>
    </w:p>
    <w:p>
      <w:pPr>
        <w:pStyle w:val="ListParagraph"/>
        <w:numPr>
          <w:ilvl w:val="0"/>
          <w:numId w:val="4"/>
        </w:numPr>
      </w:pPr>
      <w:r>
        <w:rPr>
          <w:color w:val="1E293B"/>
        </w:rPr>
        <w:t xml:space="preserve">Book the SOC2 auditor and calendar the pen-test for the end of Phase 1. Both have long lead times.</w:t>
      </w:r>
    </w:p>
    <w:p>
      <w:pPr>
        <w:pStyle w:val="ListParagraph"/>
        <w:numPr>
          <w:ilvl w:val="0"/>
          <w:numId w:val="4"/>
        </w:numPr>
      </w:pPr>
      <w:r>
        <w:rPr>
          <w:color w:val="1E293B"/>
        </w:rPr>
        <w:t xml:space="preserve">Pick two design-partner customers — one mid-market, one enterprise-leaning — to co-build the routing UX and the SSO experience.</w:t>
      </w:r>
    </w:p>
    <w:p>
      <w:pPr>
        <w:pStyle w:val="ListParagraph"/>
        <w:numPr>
          <w:ilvl w:val="0"/>
          <w:numId w:val="4"/>
        </w:numPr>
      </w:pPr>
      <w:r>
        <w:rPr>
          <w:color w:val="1E293B"/>
        </w:rPr>
        <w:t xml:space="preserve">Circulate this roadmap to engineering, sales, and customer success. Invite written disagreement within 10 days; make one revision; then freeze for a quarter.</w:t>
      </w:r>
    </w:p>
    <w:p>
      <w:pPr>
        <w:pBdr>
          <w:bottom w:val="single" w:color="CBD5E1" w:sz="6" w:space="1"/>
        </w:pBdr>
        <w:spacing w:after="120"/>
      </w:pPr>
    </w:p>
    <w:p>
      <w:pPr>
        <w:spacing w:after="140"/>
      </w:pPr>
      <w:r>
        <w:rPr>
          <w:color w:val="64748B"/>
        </w:rPr>
        <w:t xml:space="preserve">Companion artifacts: FATHOM_vs_Market.pptx (positioning and market comparison) and FATHOM_Competitive_Gap_Analysis.docx (prior analysis). This roadmap supersedes neither — it operationalizes both.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4748B"/>
        <w:sz w:val="18"/>
        <w:szCs w:val="18"/>
      </w:rPr>
      <w:t xml:space="preserve">April 2026</w:t>
    </w:r>
    <w:r>
      <w:rPr>
        <w:color w:val="64748B"/>
      </w:rPr>
      <w:t xml:space="preserve">	</w:t>
    </w:r>
    <w:r>
      <w:rPr>
        <w:color w:val="64748B"/>
        <w:sz w:val="18"/>
        <w:szCs w:val="18"/>
      </w:rPr>
      <w:t xml:space="preserve">Internal</w:t>
    </w:r>
    <w:r>
      <w:rPr>
        <w:color w:val="64748B"/>
        <w:sz w:val="18"/>
        <w:szCs w:val="18"/>
      </w:rPr>
      <w:t xml:space="preserve">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FATHOM — Strategic Competitive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A2540"/>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065A82"/>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FATHOM Strategic Competitive Roadmap</dc:title>
  <dc:creator>FATHOM</dc:creator>
  <dc:description>A phased plan to close competitive gaps and compete in market.</dc:description>
  <cp:lastModifiedBy>Un-named</cp:lastModifiedBy>
  <cp:revision>1</cp:revision>
  <dcterms:created xsi:type="dcterms:W3CDTF">2026-04-22T04:25:16.588Z</dcterms:created>
  <dcterms:modified xsi:type="dcterms:W3CDTF">2026-04-22T04:25:16.588Z</dcterms:modified>
</cp:coreProperties>
</file>

<file path=docProps/custom.xml><?xml version="1.0" encoding="utf-8"?>
<Properties xmlns="http://schemas.openxmlformats.org/officeDocument/2006/custom-properties" xmlns:vt="http://schemas.openxmlformats.org/officeDocument/2006/docPropsVTypes"/>
</file>