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3864"/>
          <w:sz w:val="72"/>
          <w:szCs w:val="72"/>
        </w:rPr>
        <w:t xml:space="preserve">VIGIL</w:t>
      </w:r>
    </w:p>
    <w:p>
      <w:pPr>
        <w:spacing w:after="80"/>
        <w:jc w:val="center"/>
      </w:pPr>
      <w:r>
        <w:rPr>
          <w:color w:val="2E5496"/>
          <w:sz w:val="40"/>
          <w:szCs w:val="40"/>
        </w:rPr>
        <w:t xml:space="preserve">Implementation Roadmap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Derived from Section 7 of the Market Comparison Report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Plan horizon: May 2026 → Q2 2027</w:t>
      </w:r>
    </w:p>
    <w:p>
      <w:r>
        <w:br w:type="page"/>
      </w:r>
    </w:p>
    <w:p>
      <w:pPr>
        <w:pStyle w:val="Heading1"/>
        <w:spacing w:after="160" w:before="240"/>
      </w:pPr>
      <w:r>
        <w:t xml:space="preserve">Executive Summary</w:t>
      </w:r>
    </w:p>
    <w:p>
      <w:pPr>
        <w:spacing w:after="120"/>
      </w:pPr>
      <w:r>
        <w:t xml:space="preserve">This roadmap operationalises the five investment priorities identified in §7 of the VIGIL Market Comparison Report. The first three priorities (notifier suite, Redis/Elasticsearch connectors, statistical anomaly detection) are engineering items deliverable in Q2 2026 with a small team. Priority 4 (OTel trace-to-query correlation) is a Q3 2026 data-plane item. Priority 5 (SCIM + SOC 2 Type II) is a Q3–Q4 track that is partly engineering and partly organisational.</w:t>
      </w:r>
    </w:p>
    <w:p>
      <w:pPr>
        <w:spacing w:after="120"/>
      </w:pPr>
      <w:r>
        <w:t xml:space="preserve">The sequencing is deliberate: items 1–3 remove the three most cited reasons prospects walk away in competitive evaluations, and each one is small enough to ship independently. Item 4 unlocks the "Datadog-style full-stack correlation" story without a full APM rewrite. Item 5 unblocks enterprise RFPs above roughly 500 seats.</w:t>
      </w:r>
    </w:p>
    <w:p>
      <w:pPr>
        <w:spacing w:after="120"/>
      </w:pPr>
      <w:r>
        <w:t xml:space="preserve">Assumed team size for this roadmap: two backend engineers, one frontend engineer, one SRE/security engineer shared across tracks, and one product manager. Dates assume kick-off on 05 May 2026.</w:t>
      </w:r>
    </w:p>
    <w:p>
      <w:pPr>
        <w:pStyle w:val="Heading1"/>
        <w:spacing w:after="160" w:before="240"/>
      </w:pPr>
      <w:r>
        <w:t xml:space="preserve">1. Roadmap at a Glance</w:t>
      </w:r>
    </w:p>
    <w:p>
      <w:pPr>
        <w:spacing w:after="120"/>
      </w:pPr>
      <w:r>
        <w:t xml:space="preserve">The table below is the commitment view: what we are shipping, when we start, when it leaves QA, and who owns it. Everything downstream in this document is a detailed breakdown of these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900"/>
        <w:gridCol w:w="1400"/>
        <w:gridCol w:w="1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Ship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Notifier suite (PagerDuty / Opsgenie / Teams / signed webhook)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W1 (05 May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W4 (29 May 26)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#1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Redis + Elasticsearch connectors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W1 (05 May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W6 (12 Jun 26)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#2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Statistical anomaly detection in alertService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W5 (02 Jun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W8 (26 Jun 26)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#1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OTel trace → per-query view correlation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W10 (10 Jul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W18 (04 Sep 26)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#1+FE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P5a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SCIM 2.0 user provisioning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W14 (07 Aug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W20 (18 Sep 26)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SRE/Security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P5b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 2 Type II observation window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W20 (18 Sep 26)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W48 (02 Apr 27)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SRE/Security + ext. auditor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Workstreams P1 and P2 run in parallel from week 1 because they do not share code paths. P3 picks up when P1 is done (same owner). P4 starts after the Pro-tier capacity work (P1, P2) so the frontend team can focus on UI. P5a and P5b are sequenced so SCIM ships before the SOC 2 window locks scope.</w:t>
      </w:r>
    </w:p>
    <w:p>
      <w:pPr>
        <w:pStyle w:val="Heading1"/>
        <w:spacing w:after="160" w:before="240"/>
      </w:pPr>
      <w:r>
        <w:t xml:space="preserve">2. P1 — Notifier Suite</w:t>
      </w:r>
    </w:p>
    <w:p>
      <w:pPr>
        <w:spacing w:after="120"/>
      </w:pPr>
      <w:r>
        <w:t xml:space="preserve">The single highest-leverage gap. Every competitor ships PagerDuty and Opsgenie integrations; buyers in regulated industries additionally ask for Teams and signed webhooks. Closing this closes the largest single reason VIGIL loses SRE-led evaluations.</w:t>
      </w:r>
    </w:p>
    <w:p>
      <w:pPr>
        <w:pStyle w:val="Heading2"/>
        <w:spacing w:after="160" w:before="240"/>
      </w:pPr>
      <w:r>
        <w:t xml:space="preserve">2.1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PagerDuty Events API v2 notifier with trigger and resolve actions and dedup_key on the alert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Opsgenie notifier using GenieKey auth, P1–P5 priority mapping, and optional team responder.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Teams notifier using the MessageCard format with severity-coloured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signed-webhook notifier with HMAC-SHA256 signature header (X-VIGIL-Signature: t=TS,v1=HEX) and a receiver-side verifier helper.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NotifierManager: parallel fan-out, per-alert-id dedupe window, exponential-backoff retry, severity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UI: add / test / rotate secrets for each notifier destination.</w:t>
      </w:r>
    </w:p>
    <w:p>
      <w:pPr>
        <w:pStyle w:val="Heading2"/>
        <w:spacing w:after="160" w:before="240"/>
      </w:pPr>
      <w:r>
        <w:t xml:space="preserve">2.2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End-to-end: raising a critical alert in staging fires a PagerDuty incident, an Opsgenie alert, a Teams card, and a signed webhook within five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Dedupe: firing the same alert twice within the configured window produces one downstream page, not two.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Retry: a flaky 5xx from the destination triggers exponential retry with capped attempts and surfaces a visible delivery failure in the admin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coverage on notifier code ≥ 80 % lines / 70 % branches; all notifiers isolated from live HTTP in tests via an HttpFn seam.</w:t>
      </w:r>
    </w:p>
    <w:p>
      <w:pPr>
        <w:pStyle w:val="Heading2"/>
        <w:spacing w:after="160" w:before="240"/>
      </w:pPr>
      <w:r>
        <w:t xml:space="preserve">2.3 Effort &amp; risks</w:t>
      </w:r>
    </w:p>
    <w:p>
      <w:pPr>
        <w:spacing w:after="120"/>
      </w:pPr>
      <w:r>
        <w:t xml:space="preserve">Effort: ~4 engineer-weeks (1 backend engineer, overlapping 0.5 FE for admin screens). Risks: PagerDuty and Opsgenie rate-limit behaviour during incident storms; mitigate with per-destination queue and back-pressure surface. Low integration risk — all four destinations are additive, not replacing existing code paths.</w:t>
      </w:r>
    </w:p>
    <w:p>
      <w:pPr>
        <w:pStyle w:val="Heading1"/>
        <w:spacing w:after="160" w:before="240"/>
      </w:pPr>
      <w:r>
        <w:t xml:space="preserve">3. P2 — Redis and Elasticsearch Connectors</w:t>
      </w:r>
    </w:p>
    <w:p>
      <w:pPr>
        <w:spacing w:after="120"/>
      </w:pPr>
      <w:r>
        <w:t xml:space="preserve">Redis is the most common cache tier in production workloads; Elasticsearch is the most common search/log tier. Covering both brings VIGIL’s engine breadth to par with Datadog and SolarWinds DPM and is the prerequisite for marketing VIGIL as a "full data-tier" observer.</w:t>
      </w:r>
    </w:p>
    <w:p>
      <w:pPr>
        <w:pStyle w:val="Heading2"/>
        <w:spacing w:after="160" w:before="240"/>
      </w:pPr>
      <w:r>
        <w:t xml:space="preserve">3.1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RedisConnector (ioredis) with INFO-based overview, SLOWLOG GET for top-N slow commands, LATENCY LATEST with graceful fallback, keyspace statistics, and connected-clients trend.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ElasticsearchConnector (@elastic/elasticsearch) with cluster health, indices stats, node stats, hot-threads sampling, and pending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adapter pattern extending BaseAdapter so both appear in the same UI treatment as PG/MySQL/Mongo/MSSQL/Oracle.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peer-dependency loading so the core SDK does not bloat for customers who do not use these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views under components/views/redis and components/views/elasticsearch mirroring the existing mongodb / mysql views.</w:t>
      </w:r>
    </w:p>
    <w:p>
      <w:pPr>
        <w:pStyle w:val="Heading2"/>
        <w:spacing w:after="160" w:before="240"/>
      </w:pPr>
      <w:r>
        <w:t xml:space="preserve">3.2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test from admin UI succeeds against both an authenticated Redis 7 cluster and an Elasticsearch 8 cluster over TLS.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overview panels render with sample data within 2 s of connection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Slowlog / hot-threads surfaces are paginated and search-filterable.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Adapter-level unit tests use fake loaders so CI does not require running Redis or Elasticsearch.</w:t>
      </w:r>
    </w:p>
    <w:p>
      <w:pPr>
        <w:pStyle w:val="Heading2"/>
        <w:spacing w:after="160" w:before="240"/>
      </w:pPr>
      <w:r>
        <w:t xml:space="preserve">3.3 Effort &amp; risks</w:t>
      </w:r>
    </w:p>
    <w:p>
      <w:pPr>
        <w:spacing w:after="120"/>
      </w:pPr>
      <w:r>
        <w:t xml:space="preserve">Effort: ~6 engineer-weeks (1 backend + 0.5 FE). Risks: Elasticsearch’s licensing split (Elastic vs OpenSearch) means the connector must be compatible with both wire protocols; plan on testing against OpenSearch 2.x as well. Redis Cluster mode introduces topology discovery; ship single-primary first and cluster as a fast follow.</w:t>
      </w:r>
    </w:p>
    <w:p>
      <w:pPr>
        <w:pStyle w:val="Heading1"/>
        <w:spacing w:after="160" w:before="240"/>
      </w:pPr>
      <w:r>
        <w:t xml:space="preserve">4. P3 — Statistical Anomaly Detection</w:t>
      </w:r>
    </w:p>
    <w:p>
      <w:pPr>
        <w:spacing w:after="120"/>
      </w:pPr>
      <w:r>
        <w:t xml:space="preserve">Rule-based thresholds require a human to know the right number. Competitors now ship baseline-aware anomaly detectors. This priority wires three complementary detectors into the existing alertService so customers can set a detector type on any metric instead of a static threshold.</w:t>
      </w:r>
    </w:p>
    <w:p>
      <w:pPr>
        <w:pStyle w:val="Heading2"/>
        <w:spacing w:after="160" w:before="240"/>
      </w:pPr>
      <w:r>
        <w:t xml:space="preserve">4.1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RollingZScoreDetector with a circular buffer and Welford’s online algorithm for O(1) mean/variance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EwmaDetector (exponentially-weighted moving average) with configurable alpha and O(1) memory — cheap, deploy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MadDetector (median absolute deviation with 0.6745 scaling) — robust to outliers; returns neutral score when MAD collapses to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Detector registry wired into alertService.evaluate() behind a new alert rule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UI: select detector, preview baseline on historical data for the selected metric, commit.</w:t>
      </w:r>
    </w:p>
    <w:p>
      <w:pPr>
        <w:pStyle w:val="Heading2"/>
        <w:spacing w:after="160" w:before="240"/>
      </w:pPr>
      <w:r>
        <w:t xml:space="preserve">4.2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workload with a known injected spike produces an alert within one evaluation cycle on all three detectors.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workload with diurnal seasonality produces zero alerts over a 48-hour backtest.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cost ≤ 1 ms per detector per metric at the 1 M-points-per-minute rate on a single alert worker.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suite covers degenerate cases (empty window, constant series, single outlier, heavy-tailed series).</w:t>
      </w:r>
    </w:p>
    <w:p>
      <w:pPr>
        <w:pStyle w:val="Heading2"/>
        <w:spacing w:after="160" w:before="240"/>
      </w:pPr>
      <w:r>
        <w:t xml:space="preserve">4.3 Effort &amp; risks</w:t>
      </w:r>
    </w:p>
    <w:p>
      <w:pPr>
        <w:spacing w:after="120"/>
      </w:pPr>
      <w:r>
        <w:t xml:space="preserve">Effort: ~3 engineer-weeks. Risks: false-positive fatigue — mitigate by shipping detectors in "suggest" mode first so customers can review suggested anomalies before they page. Documentation matters: publish a short guide on when to pick z-score vs. EWMA vs. MAD.</w:t>
      </w:r>
    </w:p>
    <w:p>
      <w:pPr>
        <w:pStyle w:val="Heading1"/>
        <w:spacing w:after="160" w:before="240"/>
      </w:pPr>
      <w:r>
        <w:t xml:space="preserve">5. P4 — OTel Trace-to-Query Correlation</w:t>
      </w:r>
    </w:p>
    <w:p>
      <w:pPr>
        <w:spacing w:after="120"/>
      </w:pPr>
      <w:r>
        <w:t xml:space="preserve">OpenTelemetry ingest is already in place. The value is unlocked when a user clicks through from an app trace to the exact DB query that was the slow span. This is the primary observability gap against Datadog DBM and Dynatrace.</w:t>
      </w:r>
    </w:p>
    <w:p>
      <w:pPr>
        <w:pStyle w:val="Heading2"/>
        <w:spacing w:after="160" w:before="240"/>
      </w:pPr>
      <w:r>
        <w:t xml:space="preserve">5.1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Ingest-time join: tag each incoming query row with the active trace_id / span_id if one is present on the connection context (supported for PG / MySQL / MSSQL via SET application_name or session comment patterns).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add trace_id and span_id columns to the query_events table; index on trace_id.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/api/traces/:traceId/queries returns every query observed for a trace, with latency contribution and plan hash.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new Trace Detail view with a timeline of spans and an inline "drill into query" panel that reuses the existing per-query view component.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Backwards-compat: existing per-query view keeps working for customers who do not emit OTel.</w:t>
      </w:r>
    </w:p>
    <w:p>
      <w:pPr>
        <w:pStyle w:val="Heading2"/>
        <w:spacing w:after="160" w:before="240"/>
      </w:pPr>
      <w:r>
        <w:t xml:space="preserve">5.2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app instrumented with @opentelemetry/api produces a trace whose DB span resolves to one query row in the Trace Detail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95th-percentile join latency &lt; 200 ms end-to-end under the benchmark workload.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Documentation: a 1-page "instrument your app" guide for each of Node, Python, Java, and Go.</w:t>
      </w:r>
    </w:p>
    <w:p>
      <w:pPr>
        <w:pStyle w:val="Heading2"/>
        <w:spacing w:after="160" w:before="240"/>
      </w:pPr>
      <w:r>
        <w:t xml:space="preserve">5.3 Effort &amp; risks</w:t>
      </w:r>
    </w:p>
    <w:p>
      <w:pPr>
        <w:spacing w:after="120"/>
      </w:pPr>
      <w:r>
        <w:t xml:space="preserve">Effort: ~8 engineer-weeks split across one backend engineer and the frontend engineer. Risks: the join only works if the app actually propagates trace context to the DB driver — most do not by default. Expect support burden for customers who cannot see their trace_ids; mitigate with a diagnostic endpoint that echoes whatever context the connector saw.</w:t>
      </w:r>
    </w:p>
    <w:p>
      <w:pPr>
        <w:pStyle w:val="Heading1"/>
        <w:spacing w:after="160" w:before="240"/>
      </w:pPr>
      <w:r>
        <w:t xml:space="preserve">6. P5 — SCIM Provisioning and SOC 2 Type II</w:t>
      </w:r>
    </w:p>
    <w:p>
      <w:pPr>
        <w:spacing w:after="120"/>
      </w:pPr>
      <w:r>
        <w:t xml:space="preserve">These two items unblock enterprise RFPs above the mid-market ceiling. SCIM is the engineering half; SOC 2 Type II is the organisational half. They share an owner because both are security-adjacent and because SOC 2 observation has to start after major access-control code changes have landed.</w:t>
      </w:r>
    </w:p>
    <w:p>
      <w:pPr>
        <w:pStyle w:val="Heading2"/>
        <w:spacing w:after="160" w:before="240"/>
      </w:pPr>
      <w:r>
        <w:t xml:space="preserve">6.1 P5a — SCIM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SCIM endpoints: /scim/v2/Users, /scim/v2/Groups, /scim/v2/ServiceProviderConfig, /scim/v2/ResourceTypes, /scim/v2/Schemas.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parser for SCIM filter expressions (eq, ne, co, sw, ew, pr, gt, lt) with allow-listed attributes.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Tenant-scoped bearer-token auth separate from the dashboard session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Okta and Entra ID (Azure AD) as the two reference IdPs for integration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Acceptance: provisioning and de-provisioning a user via Okta reflects in VIGIL within 30 s; role assignment via SCIM groups maps to existing VIGIL RBAC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Effort: ~6 engineer-weeks (1 backend + security review).</w:t>
      </w:r>
    </w:p>
    <w:p>
      <w:pPr>
        <w:pStyle w:val="Heading2"/>
        <w:spacing w:after="160" w:before="240"/>
      </w:pPr>
      <w:r>
        <w:t xml:space="preserve">6.2 P5b — SOC 2 Type II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 readiness audit (gap assessment) in W20–W24.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Controls to implement before the observation window opens: change-management policy, vendor risk register, access-review cadence, incident-response runbook, encryption-at-rest verification, tamper-evident audit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Observation window: 6 months, W24 → W48 (late September 2026 → early April 2027).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II report delivered in Q2 2027.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Effort: ~0.25 FTE sustained for the SRE/Security engineer across the observation window, plus external auditor spend.</w:t>
      </w:r>
    </w:p>
    <w:p>
      <w:pPr>
        <w:pStyle w:val="Heading1"/>
        <w:spacing w:after="160" w:before="240"/>
      </w:pPr>
      <w:r>
        <w:t xml:space="preserve">7. Cross-Cutting Concerns</w:t>
      </w:r>
    </w:p>
    <w:p>
      <w:pPr>
        <w:pStyle w:val="Heading2"/>
        <w:spacing w:after="160" w:before="240"/>
      </w:pPr>
      <w:r>
        <w:t xml:space="preserve">7.1 Testing and CI</w:t>
      </w:r>
    </w:p>
    <w:p>
      <w:pPr>
        <w:spacing w:after="120"/>
      </w:pPr>
      <w:r>
        <w:t xml:space="preserve">Every priority above lands with Vitest unit coverage ≥ 70 % lines. Any notifier or connector that touches a third-party service is tested via an injected HttpFn / fake loader seam so CI does not require network access. Integration tests run nightly against ephemeral containers (Redis, Elasticsearch, MSSQL, Mongo).</w:t>
      </w:r>
    </w:p>
    <w:p>
      <w:pPr>
        <w:pStyle w:val="Heading2"/>
        <w:spacing w:after="160" w:before="240"/>
      </w:pPr>
      <w:r>
        <w:t xml:space="preserve">7.2 Documentation</w:t>
      </w:r>
    </w:p>
    <w:p>
      <w:pPr>
        <w:spacing w:after="120"/>
      </w:pPr>
      <w:r>
        <w:t xml:space="preserve">Each shipped item comes with a short (1–2 page) "how to set up" guide linked directly from the admin UI. The guides are more important than the code for adoption — customers will not turn on features they cannot see documented. Target: every guide reviewed by a customer-success engineer before merge.</w:t>
      </w:r>
    </w:p>
    <w:p>
      <w:pPr>
        <w:pStyle w:val="Heading2"/>
        <w:spacing w:after="160" w:before="240"/>
      </w:pPr>
      <w:r>
        <w:t xml:space="preserve">7.3 Go-to-market</w:t>
      </w:r>
    </w:p>
    <w:p>
      <w:pPr>
        <w:spacing w:after="120"/>
      </w:pPr>
      <w:r>
        <w:t xml:space="preserve">Marketing should sequence launch posts roughly one week after each ship date: PagerDuty/Opsgenie integration landing page, "VIGIL now monitors Redis" blog + changelog, "Anomaly detection without rules" blog, "Trace-to-query in one click" case study. SCIM and SOC 2 are sales-enablement assets — the RFP-response library should be updated the same week the capabilities ship.</w:t>
      </w:r>
    </w:p>
    <w:p>
      <w:pPr>
        <w:pStyle w:val="Heading2"/>
        <w:spacing w:after="160" w:before="240"/>
      </w:pPr>
      <w:r>
        <w:t xml:space="preserve">7.4 Feature flags</w:t>
      </w:r>
    </w:p>
    <w:p>
      <w:pPr>
        <w:spacing w:after="120"/>
      </w:pPr>
      <w:r>
        <w:t xml:space="preserve">Every new capability ships behind a featureGate entry so it can be rolled out tier-by-tier without code changes. Community tier gets Redis + Elasticsearch at GA; anomaly detection, SCIM, trace correlation remain Enterprise-tier features.</w:t>
      </w:r>
    </w:p>
    <w:p>
      <w:pPr>
        <w:pStyle w:val="Heading1"/>
        <w:spacing w:after="160" w:before="240"/>
      </w:pPr>
      <w: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PagerDuty rate-limits during an incident storm, delaying pages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Per-destination queue + back-pressure surfaced in admin UI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 vs OpenSearch wire-protocol drift breaks the connector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CI runs against both; document support matrix; ship Elastic first, OpenSearch fast-follow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Anomaly detectors produce false-positive alert fatigue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Ship in "suggest" mode first; require a 48-hour backtest preview in UI before activation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OTel context does not reach the DB driver for most customer apps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 per-language instrumentation guides; add a diagnostic endpoint that echoes observed context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 2 observation window extended by late control failure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Type I readiness audit before W24; track controls in a weekly security standup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SCIM integration certification delays (Okta/Entra)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Kick off the Okta integration submission as soon as /Users CRUD is functional, in parallel with /Groups work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 creep on Trace Detail UI eats the P4 budget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 cap the first release to timeline + drill-to-query; explicit "next quarter" list for anything else</w:t>
            </w:r>
          </w:p>
        </w:tc>
      </w:tr>
    </w:tbl>
    <w:p>
      <w:pPr>
        <w:pStyle w:val="Heading1"/>
        <w:spacing w:after="160" w:before="240"/>
      </w:pPr>
      <w:r>
        <w:t xml:space="preserve">9. Success Metrics</w:t>
      </w:r>
    </w:p>
    <w:p>
      <w:pPr>
        <w:spacing w:after="120"/>
      </w:pPr>
      <w:r>
        <w:t xml:space="preserve">Every priority in this roadmap has an outcome metric, not just an output metric. "Shipped" is not the target; "shipped AND changed buyer behaviour OR reduced customer pain" is. The table below states the commitment explicitly.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Measured via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Alerts delivered to external incident tool within SLA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99.5 % of fires within 5 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alertService delivery telemetry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Deals lost due to "no PagerDuty" drop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zero by end Q3 2026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CRM won/lost reasons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 with at least one Redis or Elasticsearch connection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20 % of active accounts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Usage analytics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Paging noise reduction in anomaly customers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30 % fewer pages / week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Before/after comparison on opt-in accounts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Trace-to-query click-through 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40 % of trace-detail views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analytics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P5a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Enterprise customers provisioning users via SCIM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50 % by Q1 2027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Tenant-level SCIM audit log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P5b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 2 Type II report issued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Q2 2027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 auditor deliverable</w:t>
            </w:r>
          </w:p>
        </w:tc>
      </w:tr>
    </w:tbl>
    <w:p>
      <w:pPr>
        <w:pStyle w:val="Heading1"/>
        <w:spacing w:after="160" w:before="240"/>
      </w:pPr>
      <w:r>
        <w:t xml:space="preserve">10. Governance &amp;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engineering standup against the roadmap; slippage &gt; 1 week triggers a re-plan for the downstream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Bi-weekly steering review with engineering lead, product, and sales — the only forum that can change roadmap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gate: a roadmap row moves from "ship" to "launched" only when acceptance criteria, docs, admin UI, and the related marketing asset are all merged.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beta: every priority goes to 3–5 friendly customers for a one-week beta before GA; beta feedback is merged before announcement.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Post-launch review: 30 days after launch, revisit the success metric for the priority and decide whether follow-up investment is warranted.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VIGIL — Implementation Roadmap (2026)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2026-04-17T08:07:08.294Z</dcterms:created>
  <dcterms:modified xsi:type="dcterms:W3CDTF">2026-04-17T08:07:08.294Z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