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3864"/>
          <w:sz w:val="72"/>
          <w:szCs w:val="72"/>
        </w:rPr>
        <w:t xml:space="preserve">VIGIL</w:t>
      </w:r>
    </w:p>
    <w:p>
      <w:pPr>
        <w:spacing w:after="80"/>
        <w:jc w:val="center"/>
      </w:pPr>
      <w:r>
        <w:rPr>
          <w:color w:val="2E5496"/>
          <w:sz w:val="40"/>
          <w:szCs w:val="40"/>
        </w:rPr>
        <w:t xml:space="preserve">Market Comparison Report</w:t>
      </w:r>
    </w:p>
    <w:p>
      <w:pPr>
        <w:spacing w:after="1200"/>
        <w:jc w:val="center"/>
      </w:pPr>
      <w:r>
        <w:rPr>
          <w:i/>
          <w:iCs/>
          <w:color w:val="595959"/>
          <w:sz w:val="22"/>
          <w:szCs w:val="22"/>
        </w:rPr>
        <w:t xml:space="preserve">How VIGIL compares to Datadog, pganalyze, Redgate, Percona PMM, SolarWinds DPM, and AWS RDS Performance Insights</w:t>
      </w:r>
    </w:p>
    <w:p>
      <w:pPr>
        <w:spacing w:after="120"/>
        <w:jc w:val="center"/>
      </w:pPr>
      <w:r>
        <w:rPr>
          <w:color w:val="595959"/>
          <w:sz w:val="22"/>
          <w:szCs w:val="22"/>
        </w:rPr>
        <w:t xml:space="preserve">April 2026</w:t>
      </w:r>
    </w:p>
    <w:p>
      <w:r>
        <w:br w:type="page"/>
      </w:r>
    </w:p>
    <w:p>
      <w:pPr>
        <w:pStyle w:val="Heading1"/>
        <w:spacing w:after="160" w:before="240"/>
      </w:pPr>
      <w:r>
        <w:t xml:space="preserve">Executive Summary</w:t>
      </w:r>
    </w:p>
    <w:p>
      <w:pPr>
        <w:spacing w:after="120"/>
      </w:pPr>
      <w:r>
        <w:t xml:space="preserve">VIGIL is a multi-database monitoring and observability platform that today supports PostgreSQL, MySQL, MongoDB, SQL Server, and Oracle via pluggable adapters, with an OpenTelemetry ingestion path, AWS CloudWatch integration, an AI-assisted query layer, and a tiered enterprise offering (Community / Pro / Enterprise) that includes SSO-SAML, IP whitelisting, multi-tenancy, and audit controls. This report benchmarks VIGIL against the six most comparable products in the market and isolates where VIGIL already competes at parity, where it leads, and where it still trails.</w:t>
      </w:r>
    </w:p>
    <w:p>
      <w:pPr>
        <w:spacing w:after="120"/>
      </w:pPr>
      <w:r>
        <w:t xml:space="preserve">Headline: VIGIL is most directly comparable to Redgate SQL Monitor and SolarWinds DPM in breadth, to pganalyze in Postgres depth, and to Datadog Database Monitoring in the cross-stack observability story. It differentiates on (a) multi-engine breadth at a single price point, (b) embedded AI query assistance, and (c) a self-hostable footprint. It still trails Datadog and Dynatrace on APM-level tracing, trails pganalyze on Postgres-specific query plan intelligence, and trails the hyperscalers on turnkey cloud-native deployment.</w:t>
      </w:r>
    </w:p>
    <w:p>
      <w:pPr>
        <w:pStyle w:val="Heading1"/>
        <w:spacing w:after="160" w:before="240"/>
      </w:pPr>
      <w:r>
        <w:t xml:space="preserve">1. VIGIL Capability Inventory (as built)</w:t>
      </w:r>
    </w:p>
    <w:p>
      <w:pPr>
        <w:spacing w:after="120"/>
      </w:pPr>
      <w:r>
        <w:t xml:space="preserve">The comparison below reflects code that is present in the VIGIL repository today — routes, services, middleware, adapters, and frontend views — not a forward-looking roadmap.</w:t>
      </w:r>
    </w:p>
    <w:p>
      <w:pPr>
        <w:pStyle w:val="Heading2"/>
        <w:spacing w:after="160" w:before="240"/>
      </w:pPr>
      <w:r>
        <w:t xml:space="preserve">1.1 Database coverage</w:t>
      </w:r>
    </w:p>
    <w:p>
      <w:pPr>
        <w:pStyle w:val="ListParagraph"/>
        <w:numPr>
          <w:ilvl w:val="0"/>
          <w:numId w:val="2"/>
        </w:numPr>
        <w:spacing w:after="80"/>
      </w:pPr>
      <w:r>
        <w:t xml:space="preserve">PostgreSQL, MySQL, MongoDB, Microsoft SQL Server, and Oracle, each served by a dedicated adapter (PostgresAdapter, MySQLAdapter, MongoDBAdapter, MSSQLAdapter, OracleAdapter) extending a common BaseAdapter.</w:t>
      </w:r>
    </w:p>
    <w:p>
      <w:pPr>
        <w:pStyle w:val="ListParagraph"/>
        <w:numPr>
          <w:ilvl w:val="0"/>
          <w:numId w:val="2"/>
        </w:numPr>
        <w:spacing w:after="80"/>
      </w:pPr>
      <w:r>
        <w:t xml:space="preserve">Connection routing over direct TCP or SSH tunnel (sshTunnelService).</w:t>
      </w:r>
    </w:p>
    <w:p>
      <w:pPr>
        <w:pStyle w:val="ListParagraph"/>
        <w:numPr>
          <w:ilvl w:val="0"/>
          <w:numId w:val="2"/>
        </w:numPr>
        <w:spacing w:after="80"/>
      </w:pPr>
      <w:r>
        <w:t xml:space="preserve">Optional AWS CloudWatch integration for cloud-native DB metrics (cloudwatchService).</w:t>
      </w:r>
    </w:p>
    <w:p>
      <w:pPr>
        <w:pStyle w:val="Heading2"/>
        <w:spacing w:after="160" w:before="240"/>
      </w:pPr>
      <w:r>
        <w:t xml:space="preserve">1.2 Observability &amp; telemetry</w:t>
      </w:r>
    </w:p>
    <w:p>
      <w:pPr>
        <w:pStyle w:val="ListParagraph"/>
        <w:numPr>
          <w:ilvl w:val="0"/>
          <w:numId w:val="2"/>
        </w:numPr>
        <w:spacing w:after="80"/>
      </w:pPr>
      <w:r>
        <w:t xml:space="preserve">OpenTelemetry ingestion endpoint (otelRoutes / otelService) — traces and metrics over OTLP.</w:t>
      </w:r>
    </w:p>
    <w:p>
      <w:pPr>
        <w:pStyle w:val="ListParagraph"/>
        <w:numPr>
          <w:ilvl w:val="0"/>
          <w:numId w:val="2"/>
        </w:numPr>
        <w:spacing w:after="80"/>
      </w:pPr>
      <w:r>
        <w:t xml:space="preserve">Metrics registry with custom metrics surface (metricsRegistry, metricsRoutes).</w:t>
      </w:r>
    </w:p>
    <w:p>
      <w:pPr>
        <w:pStyle w:val="ListParagraph"/>
        <w:numPr>
          <w:ilvl w:val="0"/>
          <w:numId w:val="2"/>
        </w:numPr>
        <w:spacing w:after="80"/>
      </w:pPr>
      <w:r>
        <w:t xml:space="preserve">Kubernetes-side observability (k8sRoutes / k8sService).</w:t>
      </w:r>
    </w:p>
    <w:p>
      <w:pPr>
        <w:pStyle w:val="ListParagraph"/>
        <w:numPr>
          <w:ilvl w:val="0"/>
          <w:numId w:val="2"/>
        </w:numPr>
        <w:spacing w:after="80"/>
      </w:pPr>
      <w:r>
        <w:t xml:space="preserve">Dedicated SDK (@vigil/sdk) with Express middleware, batched ingest, auto-capture of uncaught exceptions, and a custom track() surface.</w:t>
      </w:r>
    </w:p>
    <w:p>
      <w:pPr>
        <w:pStyle w:val="Heading2"/>
        <w:spacing w:after="160" w:before="240"/>
      </w:pPr>
      <w:r>
        <w:t xml:space="preserve">1.3 Query intelligence</w:t>
      </w:r>
    </w:p>
    <w:p>
      <w:pPr>
        <w:pStyle w:val="ListParagraph"/>
        <w:numPr>
          <w:ilvl w:val="0"/>
          <w:numId w:val="2"/>
        </w:numPr>
        <w:spacing w:after="80"/>
      </w:pPr>
      <w:r>
        <w:t xml:space="preserve">AI-assisted query service (aiQueryService) and AI-driven monitoring heuristics (aiMonitoringService).</w:t>
      </w:r>
    </w:p>
    <w:p>
      <w:pPr>
        <w:pStyle w:val="ListParagraph"/>
        <w:numPr>
          <w:ilvl w:val="0"/>
          <w:numId w:val="2"/>
        </w:numPr>
        <w:spacing w:after="80"/>
      </w:pPr>
      <w:r>
        <w:t xml:space="preserve">Enterprise tier includes query_optimizer, bloat_analysis, query_plan_regression, and schema_versioning features.</w:t>
      </w:r>
    </w:p>
    <w:p>
      <w:pPr>
        <w:pStyle w:val="Heading2"/>
        <w:spacing w:after="160" w:before="240"/>
      </w:pPr>
      <w:r>
        <w:t xml:space="preserve">1.4 Alerting</w:t>
      </w:r>
    </w:p>
    <w:p>
      <w:pPr>
        <w:pStyle w:val="ListParagraph"/>
        <w:numPr>
          <w:ilvl w:val="0"/>
          <w:numId w:val="2"/>
        </w:numPr>
        <w:spacing w:after="80"/>
      </w:pPr>
      <w:r>
        <w:t xml:space="preserve">Centralised alertService with severity routing.</w:t>
      </w:r>
    </w:p>
    <w:p>
      <w:pPr>
        <w:pStyle w:val="ListParagraph"/>
        <w:numPr>
          <w:ilvl w:val="0"/>
          <w:numId w:val="2"/>
        </w:numPr>
        <w:spacing w:after="80"/>
      </w:pPr>
      <w:r>
        <w:t xml:space="preserve">Slack notifications (slackService) and email (emailService) out of the box.</w:t>
      </w:r>
    </w:p>
    <w:p>
      <w:pPr>
        <w:pStyle w:val="ListParagraph"/>
        <w:numPr>
          <w:ilvl w:val="0"/>
          <w:numId w:val="2"/>
        </w:numPr>
        <w:spacing w:after="80"/>
      </w:pPr>
      <w:r>
        <w:t xml:space="preserve">Enterprise tier adds alerts_advanced and alert_correlation.</w:t>
      </w:r>
    </w:p>
    <w:p>
      <w:pPr>
        <w:pStyle w:val="Heading2"/>
        <w:spacing w:after="160" w:before="240"/>
      </w:pPr>
      <w:r>
        <w:t xml:space="preserve">1.5 Security &amp; enterprise</w:t>
      </w:r>
    </w:p>
    <w:p>
      <w:pPr>
        <w:pStyle w:val="ListParagraph"/>
        <w:numPr>
          <w:ilvl w:val="0"/>
          <w:numId w:val="2"/>
        </w:numPr>
        <w:spacing w:after="80"/>
      </w:pPr>
      <w:r>
        <w:t xml:space="preserve">Three-tier licensing (Community, Pro, Enterprise) with feature-gated middleware (featureGate).</w:t>
      </w:r>
    </w:p>
    <w:p>
      <w:pPr>
        <w:pStyle w:val="ListParagraph"/>
        <w:numPr>
          <w:ilvl w:val="0"/>
          <w:numId w:val="2"/>
        </w:numPr>
        <w:spacing w:after="80"/>
      </w:pPr>
      <w:r>
        <w:t xml:space="preserve">Multi-tenant isolation (tenantIsolation middleware, organization module).</w:t>
      </w:r>
    </w:p>
    <w:p>
      <w:pPr>
        <w:pStyle w:val="ListParagraph"/>
        <w:numPr>
          <w:ilvl w:val="0"/>
          <w:numId w:val="2"/>
        </w:numPr>
        <w:spacing w:after="80"/>
      </w:pPr>
      <w:r>
        <w:t xml:space="preserve">IP whitelisting middleware and admin routes (ipWhitelist).</w:t>
      </w:r>
    </w:p>
    <w:p>
      <w:pPr>
        <w:pStyle w:val="ListParagraph"/>
        <w:numPr>
          <w:ilvl w:val="0"/>
          <w:numId w:val="2"/>
        </w:numPr>
        <w:spacing w:after="80"/>
      </w:pPr>
      <w:r>
        <w:t xml:space="preserve">Authentication, rate limiting, encryption service, audit trail (auditService / auditRoutes).</w:t>
      </w:r>
    </w:p>
    <w:p>
      <w:pPr>
        <w:pStyle w:val="ListParagraph"/>
        <w:numPr>
          <w:ilvl w:val="0"/>
          <w:numId w:val="2"/>
        </w:numPr>
        <w:spacing w:after="80"/>
      </w:pPr>
      <w:r>
        <w:t xml:space="preserve">SSO-SAML, enhanced audit, and unlimited API keys gated to Enterprise tier.</w:t>
      </w:r>
    </w:p>
    <w:p>
      <w:pPr>
        <w:pStyle w:val="Heading2"/>
        <w:spacing w:after="160" w:before="240"/>
      </w:pPr>
      <w:r>
        <w:t xml:space="preserve">1.6 Operations surface</w:t>
      </w:r>
    </w:p>
    <w:p>
      <w:pPr>
        <w:pStyle w:val="ListParagraph"/>
        <w:numPr>
          <w:ilvl w:val="0"/>
          <w:numId w:val="2"/>
        </w:numPr>
        <w:spacing w:after="80"/>
      </w:pPr>
      <w:r>
        <w:t xml:space="preserve">Retention policies (retentionService).</w:t>
      </w:r>
    </w:p>
    <w:p>
      <w:pPr>
        <w:pStyle w:val="ListParagraph"/>
        <w:numPr>
          <w:ilvl w:val="0"/>
          <w:numId w:val="2"/>
        </w:numPr>
        <w:spacing w:after="80"/>
      </w:pPr>
      <w:r>
        <w:t xml:space="preserve">Status pages (statusPageService).</w:t>
      </w:r>
    </w:p>
    <w:p>
      <w:pPr>
        <w:pStyle w:val="ListParagraph"/>
        <w:numPr>
          <w:ilvl w:val="0"/>
          <w:numId w:val="2"/>
        </w:numPr>
        <w:spacing w:after="80"/>
      </w:pPr>
      <w:r>
        <w:t xml:space="preserve">DBA task scheduler (gated to Enterprise).</w:t>
      </w:r>
    </w:p>
    <w:p>
      <w:pPr>
        <w:pStyle w:val="ListParagraph"/>
        <w:numPr>
          <w:ilvl w:val="0"/>
          <w:numId w:val="2"/>
        </w:numPr>
        <w:spacing w:after="80"/>
      </w:pPr>
      <w:r>
        <w:t xml:space="preserve">Reporting (reportRoutes).</w:t>
      </w:r>
    </w:p>
    <w:p>
      <w:pPr>
        <w:pStyle w:val="Heading1"/>
        <w:spacing w:after="160" w:before="240"/>
      </w:pPr>
      <w:r>
        <w:t xml:space="preserve">2. Competitor Landscape</w:t>
      </w:r>
    </w:p>
    <w:p>
      <w:pPr>
        <w:spacing w:after="120"/>
      </w:pPr>
      <w:r>
        <w:t xml:space="preserve">The six competitors below cover the full surface VIGIL needs to defend. They were selected because at least one dimension of their product overlaps substantially with VIGIL; none of them is a strict superset.</w:t>
      </w:r>
    </w:p>
    <w:p>
      <w:pPr>
        <w:pStyle w:val="ListParagraph"/>
        <w:numPr>
          <w:ilvl w:val="0"/>
          <w:numId w:val="2"/>
        </w:numPr>
        <w:spacing w:after="80"/>
      </w:pPr>
      <w:r>
        <w:rPr>
          <w:b/>
          <w:bCs/>
        </w:rPr>
        <w:t xml:space="preserve">Datadog Database Monitoring — </w:t>
      </w:r>
      <w:r>
        <w:t xml:space="preserve">Premium SaaS observability; strongest APM integration; expensive per-host pricing; SaaS-only.</w:t>
      </w:r>
    </w:p>
    <w:p>
      <w:pPr>
        <w:pStyle w:val="ListParagraph"/>
        <w:numPr>
          <w:ilvl w:val="0"/>
          <w:numId w:val="2"/>
        </w:numPr>
        <w:spacing w:after="80"/>
      </w:pPr>
      <w:r>
        <w:rPr>
          <w:b/>
          <w:bCs/>
        </w:rPr>
        <w:t xml:space="preserve">pganalyze — </w:t>
      </w:r>
      <w:r>
        <w:t xml:space="preserve">Best-in-class Postgres query plan and index intelligence; single-engine; SaaS or on-prem.</w:t>
      </w:r>
    </w:p>
    <w:p>
      <w:pPr>
        <w:pStyle w:val="ListParagraph"/>
        <w:numPr>
          <w:ilvl w:val="0"/>
          <w:numId w:val="2"/>
        </w:numPr>
        <w:spacing w:after="80"/>
      </w:pPr>
      <w:r>
        <w:rPr>
          <w:b/>
          <w:bCs/>
        </w:rPr>
        <w:t xml:space="preserve">Redgate SQL Monitor — </w:t>
      </w:r>
      <w:r>
        <w:t xml:space="preserve">SQL Server heritage; now covers Postgres, MySQL, Oracle; DBA-focused UI; self-hosted.</w:t>
      </w:r>
    </w:p>
    <w:p>
      <w:pPr>
        <w:pStyle w:val="ListParagraph"/>
        <w:numPr>
          <w:ilvl w:val="0"/>
          <w:numId w:val="2"/>
        </w:numPr>
        <w:spacing w:after="80"/>
      </w:pPr>
      <w:r>
        <w:rPr>
          <w:b/>
          <w:bCs/>
        </w:rPr>
        <w:t xml:space="preserve">Percona Monitoring &amp; Management (PMM) — </w:t>
      </w:r>
      <w:r>
        <w:t xml:space="preserve">Free, open source; covers MySQL, Postgres, MongoDB; self-hosted only.</w:t>
      </w:r>
    </w:p>
    <w:p>
      <w:pPr>
        <w:pStyle w:val="ListParagraph"/>
        <w:numPr>
          <w:ilvl w:val="0"/>
          <w:numId w:val="2"/>
        </w:numPr>
        <w:spacing w:after="80"/>
      </w:pPr>
      <w:r>
        <w:rPr>
          <w:b/>
          <w:bCs/>
        </w:rPr>
        <w:t xml:space="preserve">SolarWinds DPM (VividCortex) — </w:t>
      </w:r>
      <w:r>
        <w:t xml:space="preserve">Per-query latency histograms across MySQL, Postgres, MongoDB, SQL Server; SaaS.</w:t>
      </w:r>
    </w:p>
    <w:p>
      <w:pPr>
        <w:pStyle w:val="ListParagraph"/>
        <w:numPr>
          <w:ilvl w:val="0"/>
          <w:numId w:val="2"/>
        </w:numPr>
        <w:spacing w:after="80"/>
      </w:pPr>
      <w:r>
        <w:rPr>
          <w:b/>
          <w:bCs/>
        </w:rPr>
        <w:t xml:space="preserve">AWS RDS Performance Insights — </w:t>
      </w:r>
      <w:r>
        <w:t xml:space="preserve">Near-zero setup inside AWS; limited to AWS-managed engines; shallow query intel.</w:t>
      </w:r>
    </w:p>
    <w:p>
      <w:pPr>
        <w:pStyle w:val="Heading1"/>
        <w:spacing w:after="160" w:before="240"/>
      </w:pPr>
      <w:r>
        <w:t xml:space="preserve">3. Head-to-Head Feature Matrix</w:t>
      </w:r>
    </w:p>
    <w:p>
      <w:pPr>
        <w:spacing w:after="120"/>
      </w:pPr>
      <w:r>
        <w:t xml:space="preserve">Legend: Yes = first-class, built-in. Basic / Partial = present but less mature. No = not in the product today. "Self" = available only via user-managed deployment. An asterisk indicates the feature is plugin-based or paid add-on.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050"/>
        <w:gridCol w:w="1050"/>
        <w:gridCol w:w="1050"/>
        <w:gridCol w:w="1050"/>
        <w:gridCol w:w="1050"/>
        <w:gridCol w:w="10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90"/>
              <w:left w:type="dxa" w:w="140"/>
              <w:bottom w:type="dxa" w:w="90"/>
              <w:right w:type="dxa" w:w="140"/>
            </w:tcMar>
          </w:tcPr>
          <w:p>
            <w:pPr>
              <w:spacing w:after="0"/>
            </w:pPr>
            <w:r>
              <w:rPr>
                <w:b/>
                <w:bCs/>
                <w:color w:val="FFFFFF"/>
                <w:sz w:val="18"/>
                <w:szCs w:val="18"/>
              </w:rPr>
              <w:t xml:space="preserve">Dimension</w:t>
            </w:r>
          </w:p>
        </w:tc>
        <w:tc>
          <w:tcPr>
            <w:tcW w:type="dxa" w:w="1050"/>
            <w:tcBorders>
              <w:top w:val="single" w:color="BFBFBF" w:sz="4"/>
              <w:left w:val="single" w:color="BFBFBF" w:sz="4"/>
              <w:bottom w:val="single" w:color="BFBFBF" w:sz="4"/>
              <w:right w:val="single" w:color="BFBFBF" w:sz="4"/>
            </w:tcBorders>
            <w:shd w:fill="1F3864" w:val="clear"/>
            <w:tcMar>
              <w:top w:type="dxa" w:w="90"/>
              <w:left w:type="dxa" w:w="140"/>
              <w:bottom w:type="dxa" w:w="90"/>
              <w:right w:type="dxa" w:w="140"/>
            </w:tcMar>
          </w:tcPr>
          <w:p>
            <w:pPr>
              <w:spacing w:after="0"/>
            </w:pPr>
            <w:r>
              <w:rPr>
                <w:b/>
                <w:bCs/>
                <w:color w:val="FFFFFF"/>
                <w:sz w:val="18"/>
                <w:szCs w:val="18"/>
              </w:rPr>
              <w:t xml:space="preserve">VIGIL</w:t>
            </w:r>
          </w:p>
        </w:tc>
        <w:tc>
          <w:tcPr>
            <w:tcW w:type="dxa" w:w="1050"/>
            <w:tcBorders>
              <w:top w:val="single" w:color="BFBFBF" w:sz="4"/>
              <w:left w:val="single" w:color="BFBFBF" w:sz="4"/>
              <w:bottom w:val="single" w:color="BFBFBF" w:sz="4"/>
              <w:right w:val="single" w:color="BFBFBF" w:sz="4"/>
            </w:tcBorders>
            <w:shd w:fill="1F3864" w:val="clear"/>
            <w:tcMar>
              <w:top w:type="dxa" w:w="90"/>
              <w:left w:type="dxa" w:w="140"/>
              <w:bottom w:type="dxa" w:w="90"/>
              <w:right w:type="dxa" w:w="140"/>
            </w:tcMar>
          </w:tcPr>
          <w:p>
            <w:pPr>
              <w:spacing w:after="0"/>
            </w:pPr>
            <w:r>
              <w:rPr>
                <w:b/>
                <w:bCs/>
                <w:color w:val="FFFFFF"/>
                <w:sz w:val="18"/>
                <w:szCs w:val="18"/>
              </w:rPr>
              <w:t xml:space="preserve">Datadog DB Mon</w:t>
            </w:r>
          </w:p>
        </w:tc>
        <w:tc>
          <w:tcPr>
            <w:tcW w:type="dxa" w:w="1050"/>
            <w:tcBorders>
              <w:top w:val="single" w:color="BFBFBF" w:sz="4"/>
              <w:left w:val="single" w:color="BFBFBF" w:sz="4"/>
              <w:bottom w:val="single" w:color="BFBFBF" w:sz="4"/>
              <w:right w:val="single" w:color="BFBFBF" w:sz="4"/>
            </w:tcBorders>
            <w:shd w:fill="1F3864" w:val="clear"/>
            <w:tcMar>
              <w:top w:type="dxa" w:w="90"/>
              <w:left w:type="dxa" w:w="140"/>
              <w:bottom w:type="dxa" w:w="90"/>
              <w:right w:type="dxa" w:w="140"/>
            </w:tcMar>
          </w:tcPr>
          <w:p>
            <w:pPr>
              <w:spacing w:after="0"/>
            </w:pPr>
            <w:r>
              <w:rPr>
                <w:b/>
                <w:bCs/>
                <w:color w:val="FFFFFF"/>
                <w:sz w:val="18"/>
                <w:szCs w:val="18"/>
              </w:rPr>
              <w:t xml:space="preserve">pganalyze</w:t>
            </w:r>
          </w:p>
        </w:tc>
        <w:tc>
          <w:tcPr>
            <w:tcW w:type="dxa" w:w="1050"/>
            <w:tcBorders>
              <w:top w:val="single" w:color="BFBFBF" w:sz="4"/>
              <w:left w:val="single" w:color="BFBFBF" w:sz="4"/>
              <w:bottom w:val="single" w:color="BFBFBF" w:sz="4"/>
              <w:right w:val="single" w:color="BFBFBF" w:sz="4"/>
            </w:tcBorders>
            <w:shd w:fill="1F3864" w:val="clear"/>
            <w:tcMar>
              <w:top w:type="dxa" w:w="90"/>
              <w:left w:type="dxa" w:w="140"/>
              <w:bottom w:type="dxa" w:w="90"/>
              <w:right w:type="dxa" w:w="140"/>
            </w:tcMar>
          </w:tcPr>
          <w:p>
            <w:pPr>
              <w:spacing w:after="0"/>
            </w:pPr>
            <w:r>
              <w:rPr>
                <w:b/>
                <w:bCs/>
                <w:color w:val="FFFFFF"/>
                <w:sz w:val="18"/>
                <w:szCs w:val="18"/>
              </w:rPr>
              <w:t xml:space="preserve">Redgate SQL Mon</w:t>
            </w:r>
          </w:p>
        </w:tc>
        <w:tc>
          <w:tcPr>
            <w:tcW w:type="dxa" w:w="1050"/>
            <w:tcBorders>
              <w:top w:val="single" w:color="BFBFBF" w:sz="4"/>
              <w:left w:val="single" w:color="BFBFBF" w:sz="4"/>
              <w:bottom w:val="single" w:color="BFBFBF" w:sz="4"/>
              <w:right w:val="single" w:color="BFBFBF" w:sz="4"/>
            </w:tcBorders>
            <w:shd w:fill="1F3864" w:val="clear"/>
            <w:tcMar>
              <w:top w:type="dxa" w:w="90"/>
              <w:left w:type="dxa" w:w="140"/>
              <w:bottom w:type="dxa" w:w="90"/>
              <w:right w:type="dxa" w:w="140"/>
            </w:tcMar>
          </w:tcPr>
          <w:p>
            <w:pPr>
              <w:spacing w:after="0"/>
            </w:pPr>
            <w:r>
              <w:rPr>
                <w:b/>
                <w:bCs/>
                <w:color w:val="FFFFFF"/>
                <w:sz w:val="18"/>
                <w:szCs w:val="18"/>
              </w:rPr>
              <w:t xml:space="preserve">Percona PMM</w:t>
            </w:r>
          </w:p>
        </w:tc>
        <w:tc>
          <w:tcPr>
            <w:tcW w:type="dxa" w:w="1050"/>
            <w:tcBorders>
              <w:top w:val="single" w:color="BFBFBF" w:sz="4"/>
              <w:left w:val="single" w:color="BFBFBF" w:sz="4"/>
              <w:bottom w:val="single" w:color="BFBFBF" w:sz="4"/>
              <w:right w:val="single" w:color="BFBFBF" w:sz="4"/>
            </w:tcBorders>
            <w:shd w:fill="1F3864" w:val="clear"/>
            <w:tcMar>
              <w:top w:type="dxa" w:w="90"/>
              <w:left w:type="dxa" w:w="140"/>
              <w:bottom w:type="dxa" w:w="90"/>
              <w:right w:type="dxa" w:w="140"/>
            </w:tcMar>
          </w:tcPr>
          <w:p>
            <w:pPr>
              <w:spacing w:after="0"/>
            </w:pPr>
            <w:r>
              <w:rPr>
                <w:b/>
                <w:bCs/>
                <w:color w:val="FFFFFF"/>
                <w:sz w:val="18"/>
                <w:szCs w:val="18"/>
              </w:rPr>
              <w:t xml:space="preserve">SolarWinds DPM</w:t>
            </w:r>
          </w:p>
        </w:tc>
        <w:tc>
          <w:tcPr>
            <w:tcW w:type="dxa" w:w="1060"/>
            <w:tcBorders>
              <w:top w:val="single" w:color="BFBFBF" w:sz="4"/>
              <w:left w:val="single" w:color="BFBFBF" w:sz="4"/>
              <w:bottom w:val="single" w:color="BFBFBF" w:sz="4"/>
              <w:right w:val="single" w:color="BFBFBF" w:sz="4"/>
            </w:tcBorders>
            <w:shd w:fill="1F3864" w:val="clear"/>
            <w:tcMar>
              <w:top w:type="dxa" w:w="90"/>
              <w:left w:type="dxa" w:w="140"/>
              <w:bottom w:type="dxa" w:w="90"/>
              <w:right w:type="dxa" w:w="140"/>
            </w:tcMar>
          </w:tcPr>
          <w:p>
            <w:pPr>
              <w:spacing w:after="0"/>
            </w:pPr>
            <w:r>
              <w:rPr>
                <w:b/>
                <w:bCs/>
                <w:color w:val="FFFFFF"/>
                <w:sz w:val="18"/>
                <w:szCs w:val="18"/>
              </w:rPr>
              <w:t xml:space="preserve">AWS RDS PI</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bCs/>
                <w:sz w:val="18"/>
                <w:szCs w:val="18"/>
              </w:rPr>
              <w:t xml:space="preserve">Postgres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 (deep)</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sz w:val="18"/>
                <w:szCs w:val="18"/>
              </w:rPr>
              <w:t xml:space="preserve">MySQL</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bCs/>
                <w:sz w:val="18"/>
                <w:szCs w:val="18"/>
              </w:rPr>
              <w:t xml:space="preserve">MongoDB</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sz w:val="18"/>
                <w:szCs w:val="18"/>
              </w:rPr>
              <w:t xml:space="preserve">SQL Server</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bCs/>
                <w:sz w:val="18"/>
                <w:szCs w:val="18"/>
              </w:rPr>
              <w:t xml:space="preserve">Oracle</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sz w:val="18"/>
                <w:szCs w:val="18"/>
              </w:rPr>
              <w:t xml:space="preserve">Redis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bCs/>
                <w:sz w:val="18"/>
                <w:szCs w:val="18"/>
              </w:rPr>
              <w:t xml:space="preserve">OTel ingest</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Partial</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sz w:val="18"/>
                <w:szCs w:val="18"/>
              </w:rPr>
              <w:t xml:space="preserve">APM / tracing</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Basic</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Partial</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bCs/>
                <w:sz w:val="18"/>
                <w:szCs w:val="18"/>
              </w:rPr>
              <w:t xml:space="preserve">AI query advice</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Limited</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Limited</w:t>
            </w:r>
          </w:p>
        </w:tc>
        <w:tc>
          <w:tcPr>
            <w:tcW w:type="dxa" w:w="10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Limited</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sz w:val="18"/>
                <w:szCs w:val="18"/>
              </w:rPr>
              <w:t xml:space="preserve">SSO-SAML</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AWS IAM</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bCs/>
                <w:sz w:val="18"/>
                <w:szCs w:val="18"/>
              </w:rPr>
              <w:t xml:space="preserve">Audit log</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CloudTrail</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sz w:val="18"/>
                <w:szCs w:val="18"/>
              </w:rPr>
              <w:t xml:space="preserve">Multi-tenant</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Self</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AWS</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bCs/>
                <w:sz w:val="18"/>
                <w:szCs w:val="18"/>
              </w:rPr>
              <w:t xml:space="preserve">Slack alert</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SNS</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sz w:val="18"/>
                <w:szCs w:val="18"/>
              </w:rPr>
              <w:t xml:space="preserve">PagerDuty</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via SNS</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bCs/>
                <w:sz w:val="18"/>
                <w:szCs w:val="18"/>
              </w:rPr>
              <w:t xml:space="preserve">Self-hostable</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sz w:val="18"/>
                <w:szCs w:val="18"/>
              </w:rPr>
              <w:t xml:space="preserve">Open source</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Yes</w:t>
            </w:r>
          </w:p>
        </w:tc>
        <w:tc>
          <w:tcPr>
            <w:tcW w:type="dxa" w:w="105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c>
          <w:tcPr>
            <w:tcW w:type="dxa" w:w="1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sz w:val="18"/>
                <w:szCs w:val="18"/>
              </w:rPr>
              <w:t xml:space="preserve">No</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bCs/>
                <w:sz w:val="18"/>
                <w:szCs w:val="18"/>
              </w:rPr>
              <w:t xml:space="preserve">Free tier</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 (Community)</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Limited</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No</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Trial</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Free</w:t>
            </w:r>
          </w:p>
        </w:tc>
        <w:tc>
          <w:tcPr>
            <w:tcW w:type="dxa" w:w="105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Trial</w:t>
            </w:r>
          </w:p>
        </w:tc>
        <w:tc>
          <w:tcPr>
            <w:tcW w:type="dxa" w:w="10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0"/>
            </w:pPr>
            <w:r>
              <w:rPr>
                <w:b w:val="false"/>
                <w:bCs w:val="false"/>
                <w:sz w:val="18"/>
                <w:szCs w:val="18"/>
              </w:rPr>
              <w:t xml:space="preserve">Yes</w:t>
            </w:r>
          </w:p>
        </w:tc>
      </w:tr>
    </w:tbl>
    <w:p>
      <w:pPr>
        <w:spacing w:after="120"/>
      </w:pPr>
      <w:r>
        <w:t xml:space="preserve"/>
      </w:r>
    </w:p>
    <w:p>
      <w:pPr>
        <w:spacing w:after="120"/>
      </w:pPr>
      <w:r>
        <w:t xml:space="preserve">Reading the row: each dimension picks a feature that a real buyer asks about during evaluation. The matrix is deliberately conservative for VIGIL — every "Yes" corresponds to code that is already on disk; every "No" (e.g. Redis, PagerDuty) reflects an actual gap.</w:t>
      </w:r>
    </w:p>
    <w:p>
      <w:pPr>
        <w:pStyle w:val="Heading1"/>
        <w:spacing w:after="160" w:before="240"/>
      </w:pPr>
      <w:r>
        <w:t xml:space="preserve">4. Dimension-by-Dimension Analysis</w:t>
      </w:r>
    </w:p>
    <w:p>
      <w:pPr>
        <w:pStyle w:val="Heading2"/>
        <w:spacing w:after="160" w:before="240"/>
      </w:pPr>
      <w:r>
        <w:t xml:space="preserve">4.1 Database breadth</w:t>
      </w:r>
    </w:p>
    <w:p>
      <w:pPr>
        <w:spacing w:after="120"/>
      </w:pPr>
      <w:r>
        <w:t xml:space="preserve">VIGIL covers five of the six engines most enterprises run in production (PG, MySQL, MongoDB, SQL Server, Oracle). Only Redis and the key-value / search tier (Elasticsearch, ClickHouse) are currently missing. Datadog and SolarWinds cover slightly more engines, but at materially higher cost; pganalyze remains single-engine; PMM misses SQL Server and Oracle. On this axis VIGIL already sits in the top quartile.</w:t>
      </w:r>
    </w:p>
    <w:p>
      <w:pPr>
        <w:pStyle w:val="Heading2"/>
        <w:spacing w:after="160" w:before="240"/>
      </w:pPr>
      <w:r>
        <w:t xml:space="preserve">4.2 Query &amp; plan intelligence</w:t>
      </w:r>
    </w:p>
    <w:p>
      <w:pPr>
        <w:spacing w:after="120"/>
      </w:pPr>
      <w:r>
        <w:t xml:space="preserve">pganalyze is the benchmark here — it catches regressions at the query-plan level and has a mature index advisor. VIGIL ships an AI-assisted query layer and query-plan regression (Enterprise), which closes the headline feature, but deep plan fingerprinting and statistics-based advisory are not yet at pganalyze parity on Postgres specifically. Against Datadog DBM, VIGIL is roughly even for SQL diagnostics; against SolarWinds DPM, VIGIL trails on per-query latency histograms.</w:t>
      </w:r>
    </w:p>
    <w:p>
      <w:pPr>
        <w:pStyle w:val="Heading2"/>
        <w:spacing w:after="160" w:before="240"/>
      </w:pPr>
      <w:r>
        <w:t xml:space="preserve">4.3 Observability &amp; APM</w:t>
      </w:r>
    </w:p>
    <w:p>
      <w:pPr>
        <w:spacing w:after="120"/>
      </w:pPr>
      <w:r>
        <w:t xml:space="preserve">VIGIL ingests OpenTelemetry and surfaces custom metrics, which puts it ahead of pganalyze and Redgate (neither consumes OTel meaningfully) and roughly level with PMM. It trails Datadog and Dynatrace, both of which provide full distributed-trace correlation from app → service → query. Closing this specific gap does not require a full APM rewrite — it requires stitching existing OTel traces to the per-query view in the dashboard.</w:t>
      </w:r>
    </w:p>
    <w:p>
      <w:pPr>
        <w:pStyle w:val="Heading2"/>
        <w:spacing w:after="160" w:before="240"/>
      </w:pPr>
      <w:r>
        <w:t xml:space="preserve">4.4 Alerting &amp; incident flow</w:t>
      </w:r>
    </w:p>
    <w:p>
      <w:pPr>
        <w:spacing w:after="120"/>
      </w:pPr>
      <w:r>
        <w:t xml:space="preserve">Slack and email are implemented; severity routing and correlation are Enterprise features. The visible gap is the absence of first-class PagerDuty, Opsgenie, and Teams notifiers; every competitor except AWS RDS PI ships these. This is the single highest-ROI gap to close because SRE teams veto tools that do not page them.</w:t>
      </w:r>
    </w:p>
    <w:p>
      <w:pPr>
        <w:pStyle w:val="Heading2"/>
        <w:spacing w:after="160" w:before="240"/>
      </w:pPr>
      <w:r>
        <w:t xml:space="preserve">4.5 Security &amp; compliance</w:t>
      </w:r>
    </w:p>
    <w:p>
      <w:pPr>
        <w:spacing w:after="120"/>
      </w:pPr>
      <w:r>
        <w:t xml:space="preserve">VIGIL has the feature set an Enterprise buyer expects: SSO-SAML, IP whitelisting, multi-tenant isolation, encryption service, audit trail, rate limiting, tier-based feature gates. The remaining items a procurement team will ask for are SOC 2 attestation, SCIM user provisioning, and immutable/tamper-evident audit logs. These are organisational or incremental engineering items, not missing architecture.</w:t>
      </w:r>
    </w:p>
    <w:p>
      <w:pPr>
        <w:pStyle w:val="Heading2"/>
        <w:spacing w:after="160" w:before="240"/>
      </w:pPr>
      <w:r>
        <w:t xml:space="preserve">4.6 Pricing &amp; deployment</w:t>
      </w:r>
    </w:p>
    <w:p>
      <w:pPr>
        <w:spacing w:after="120"/>
      </w:pPr>
      <w:r>
        <w:t xml:space="preserve">VIGIL’s three-tier model (Community / Pro / Enterprise) combined with self-hostability is a real structural advantage. Datadog is SaaS-only and priced per host; SolarWinds DPM is SaaS-only and priced per database instance; Percona PMM is free but requires the customer to staff its operation. VIGIL is the only product in the set that offers both a free tier and the option to self-host a commercial tier — an attractive story for regulated industries.</w:t>
      </w:r>
    </w:p>
    <w:p>
      <w:pPr>
        <w:pStyle w:val="Heading1"/>
        <w:spacing w:after="160" w:before="240"/>
      </w:pPr>
      <w:r>
        <w:t xml:space="preserve">5. Where VIGIL Already Wins</w:t>
      </w:r>
    </w:p>
    <w:p>
      <w:pPr>
        <w:pStyle w:val="ListParagraph"/>
        <w:numPr>
          <w:ilvl w:val="0"/>
          <w:numId w:val="2"/>
        </w:numPr>
        <w:spacing w:after="80"/>
      </w:pPr>
      <w:r>
        <w:t xml:space="preserve">Five-engine DB coverage at one price point — no competitor offers PG + MySQL + Mongo + MSSQL + Oracle with a free community tier.</w:t>
      </w:r>
    </w:p>
    <w:p>
      <w:pPr>
        <w:pStyle w:val="ListParagraph"/>
        <w:numPr>
          <w:ilvl w:val="0"/>
          <w:numId w:val="2"/>
        </w:numPr>
        <w:spacing w:after="80"/>
      </w:pPr>
      <w:r>
        <w:t xml:space="preserve">Self-host option with commercial features — unique against Datadog, SolarWinds DPM, and AWS RDS PI.</w:t>
      </w:r>
    </w:p>
    <w:p>
      <w:pPr>
        <w:pStyle w:val="ListParagraph"/>
        <w:numPr>
          <w:ilvl w:val="0"/>
          <w:numId w:val="2"/>
        </w:numPr>
        <w:spacing w:after="80"/>
      </w:pPr>
      <w:r>
        <w:t xml:space="preserve">AI query assistance in the default UI — Datadog has recently added this, Redgate and PMM have not.</w:t>
      </w:r>
    </w:p>
    <w:p>
      <w:pPr>
        <w:pStyle w:val="ListParagraph"/>
        <w:numPr>
          <w:ilvl w:val="0"/>
          <w:numId w:val="2"/>
        </w:numPr>
        <w:spacing w:after="80"/>
      </w:pPr>
      <w:r>
        <w:t xml:space="preserve">Transparent, feature-flagged tier model — buyers can map their needs to Community / Pro / Enterprise without a sales call.</w:t>
      </w:r>
    </w:p>
    <w:p>
      <w:pPr>
        <w:pStyle w:val="ListParagraph"/>
        <w:numPr>
          <w:ilvl w:val="0"/>
          <w:numId w:val="2"/>
        </w:numPr>
        <w:spacing w:after="80"/>
      </w:pPr>
      <w:r>
        <w:t xml:space="preserve">OpenTelemetry-native ingest — lets customers re-use existing instrumentation rather than installing a proprietary agent.</w:t>
      </w:r>
    </w:p>
    <w:p>
      <w:pPr>
        <w:pStyle w:val="ListParagraph"/>
        <w:numPr>
          <w:ilvl w:val="0"/>
          <w:numId w:val="2"/>
        </w:numPr>
        <w:spacing w:after="80"/>
      </w:pPr>
      <w:r>
        <w:t xml:space="preserve">Bundled multi-tenancy and IP whitelisting — typically add-on SKUs elsewhere.</w:t>
      </w:r>
    </w:p>
    <w:p>
      <w:pPr>
        <w:pStyle w:val="Heading1"/>
        <w:spacing w:after="160" w:before="240"/>
      </w:pPr>
      <w:r>
        <w:t xml:space="preserve">6. Where VIGIL Still Trails</w:t>
      </w:r>
    </w:p>
    <w:p>
      <w:pPr>
        <w:pStyle w:val="ListParagraph"/>
        <w:numPr>
          <w:ilvl w:val="0"/>
          <w:numId w:val="2"/>
        </w:numPr>
        <w:spacing w:after="80"/>
      </w:pPr>
      <w:r>
        <w:rPr>
          <w:b/>
          <w:bCs/>
        </w:rPr>
        <w:t xml:space="preserve">Incident tooling breadth: </w:t>
      </w:r>
      <w:r>
        <w:t xml:space="preserve">no native PagerDuty, Opsgenie, or Teams notifier; webhook signing is informal. Every serious competitor ships these.</w:t>
      </w:r>
    </w:p>
    <w:p>
      <w:pPr>
        <w:pStyle w:val="ListParagraph"/>
        <w:numPr>
          <w:ilvl w:val="0"/>
          <w:numId w:val="2"/>
        </w:numPr>
        <w:spacing w:after="80"/>
      </w:pPr>
      <w:r>
        <w:rPr>
          <w:b/>
          <w:bCs/>
        </w:rPr>
        <w:t xml:space="preserve">Redis and cache-tier coverage: </w:t>
      </w:r>
      <w:r>
        <w:t xml:space="preserve">Datadog, PMM, and SolarWinds all monitor Redis; VIGIL does not yet.</w:t>
      </w:r>
    </w:p>
    <w:p>
      <w:pPr>
        <w:pStyle w:val="ListParagraph"/>
        <w:numPr>
          <w:ilvl w:val="0"/>
          <w:numId w:val="2"/>
        </w:numPr>
        <w:spacing w:after="80"/>
      </w:pPr>
      <w:r>
        <w:rPr>
          <w:b/>
          <w:bCs/>
        </w:rPr>
        <w:t xml:space="preserve">Distributed trace correlation: </w:t>
      </w:r>
      <w:r>
        <w:t xml:space="preserve">OTel is ingested but not stitched to the per-query view the way Datadog APM and Dynatrace do.</w:t>
      </w:r>
    </w:p>
    <w:p>
      <w:pPr>
        <w:pStyle w:val="ListParagraph"/>
        <w:numPr>
          <w:ilvl w:val="0"/>
          <w:numId w:val="2"/>
        </w:numPr>
        <w:spacing w:after="80"/>
      </w:pPr>
      <w:r>
        <w:rPr>
          <w:b/>
          <w:bCs/>
        </w:rPr>
        <w:t xml:space="preserve">Postgres depth vs. pganalyze: </w:t>
      </w:r>
      <w:r>
        <w:t xml:space="preserve">plan fingerprinting, index advisor, and lock-wait attribution are still weaker than the category specialist.</w:t>
      </w:r>
    </w:p>
    <w:p>
      <w:pPr>
        <w:pStyle w:val="ListParagraph"/>
        <w:numPr>
          <w:ilvl w:val="0"/>
          <w:numId w:val="2"/>
        </w:numPr>
        <w:spacing w:after="80"/>
      </w:pPr>
      <w:r>
        <w:rPr>
          <w:b/>
          <w:bCs/>
        </w:rPr>
        <w:t xml:space="preserve">Compliance posture: </w:t>
      </w:r>
      <w:r>
        <w:t xml:space="preserve">SOC 2 and ISO 27001 attestations, SCIM provisioning, and tamper-evident audit chain are not yet established — large enterprise RFPs will ask for these by name.</w:t>
      </w:r>
    </w:p>
    <w:p>
      <w:pPr>
        <w:pStyle w:val="ListParagraph"/>
        <w:numPr>
          <w:ilvl w:val="0"/>
          <w:numId w:val="2"/>
        </w:numPr>
        <w:spacing w:after="80"/>
      </w:pPr>
      <w:r>
        <w:rPr>
          <w:b/>
          <w:bCs/>
        </w:rPr>
        <w:t xml:space="preserve">Anomaly detection: </w:t>
      </w:r>
      <w:r>
        <w:t xml:space="preserve">rule-based alerts are present but statistical baselining (z-score, seasonality, MAD) is not — Datadog and SolarWinds both offer this.</w:t>
      </w:r>
    </w:p>
    <w:p>
      <w:pPr>
        <w:pStyle w:val="ListParagraph"/>
        <w:numPr>
          <w:ilvl w:val="0"/>
          <w:numId w:val="2"/>
        </w:numPr>
        <w:spacing w:after="80"/>
      </w:pPr>
      <w:r>
        <w:rPr>
          <w:b/>
          <w:bCs/>
        </w:rPr>
        <w:t xml:space="preserve">Mobile / on-call UX: </w:t>
      </w:r>
      <w:r>
        <w:t xml:space="preserve">no dedicated mobile app and no on-call schedule integration; this is table stakes for SRE buyers.</w:t>
      </w:r>
    </w:p>
    <w:p>
      <w:pPr>
        <w:pStyle w:val="Heading1"/>
        <w:spacing w:after="160" w:before="240"/>
      </w:pPr>
      <w:r>
        <w:t xml:space="preserve">7. Positioning Recommendation</w:t>
      </w:r>
    </w:p>
    <w:p>
      <w:pPr>
        <w:spacing w:after="120"/>
      </w:pPr>
      <w:r>
        <w:t xml:space="preserve">VIGIL should position itself as the "multi-engine, self-hostable, AI-assisted DB observability platform" — a middle-market alternative to Datadog and a commercially-supported upgrade path from Percona PMM. Marketing should not contest pganalyze on Postgres depth or Datadog on full-stack APM; it should emphasise the combination (breadth × self-host × price × AI) that no single competitor offers.</w:t>
      </w:r>
    </w:p>
    <w:p>
      <w:pPr>
        <w:spacing w:after="120"/>
      </w:pPr>
      <w:r>
        <w:t xml:space="preserve">Investment priorities, in order of commercial impact: (1) PagerDuty / Opsgenie / Teams notifiers with signed webhooks, (2) Redis and Elasticsearch connectors, (3) statistical anomaly detection wired into alertService, (4) trace-to-query correlation for OTel, (5) SCIM provisioning and a SOC 2 Type II track. Items 1–3 are engineering tasks measurable in weeks; items 4–5 are quarters.</w:t>
      </w:r>
    </w:p>
    <w:p>
      <w:pPr>
        <w:spacing w:after="120"/>
      </w:pPr>
      <w:r>
        <w:t xml:space="preserve">Defensive moat: keep the Community tier genuinely useful. Pganalyze has no free tier, Datadog’s free tier is marketing-only, and the hyperscalers are cloud-locked. A capable free tier is the cheapest customer-acquisition channel VIGIL can run, and is the single factor most likely to get teams to evaluate VIGIL before a paid competitor.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VIGIL — Market Comparison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2026-04-17T07:49:37.861Z</dcterms:created>
  <dcterms:modified xsi:type="dcterms:W3CDTF">2026-04-17T07:49:37.861Z</dcterms:modified>
</cp:coreProperties>
</file>

<file path=docProps/custom.xml><?xml version="1.0" encoding="utf-8"?>
<Properties xmlns="http://schemas.openxmlformats.org/officeDocument/2006/custom-properties" xmlns:vt="http://schemas.openxmlformats.org/officeDocument/2006/docPropsVTypes"/>
</file>