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72"/>
          <w:szCs w:val="72"/>
        </w:rPr>
        <w:t xml:space="preserve">VIGIL</w:t>
      </w:r>
    </w:p>
    <w:p>
      <w:pPr>
        <w:spacing w:after="120"/>
        <w:jc w:val="center"/>
      </w:pPr>
      <w:r>
        <w:rPr>
          <w:b/>
          <w:bCs/>
          <w:color w:val="3F3F3F"/>
          <w:sz w:val="40"/>
          <w:szCs w:val="40"/>
        </w:rPr>
        <w:t xml:space="preserve">Competitive Gap Analysis</w:t>
      </w:r>
    </w:p>
    <w:p>
      <w:pPr>
        <w:spacing w:after="480"/>
        <w:jc w:val="center"/>
      </w:pPr>
      <w:r>
        <w:rPr>
          <w:i/>
          <w:iCs/>
          <w:color w:val="666666"/>
          <w:sz w:val="26"/>
          <w:szCs w:val="26"/>
        </w:rPr>
        <w:t xml:space="preserve">Benchmarking against database monitoring &amp; administration tools</w:t>
      </w:r>
    </w:p>
    <w:p>
      <w:pPr>
        <w:pBdr>
          <w:bottom w:val="single" w:color="1F3A5F" w:sz="12" w:space="4"/>
        </w:pBdr>
        <w:jc w:val="center"/>
      </w:pPr>
      <w:r>
        <w:t xml:space="preserve"/>
      </w:r>
    </w:p>
    <w:p>
      <w:pPr>
        <w:spacing w:after="60" w:before="240"/>
        <w:jc w:val="center"/>
      </w:pPr>
      <w:r>
        <w:rPr>
          <w:sz w:val="24"/>
          <w:szCs w:val="24"/>
        </w:rPr>
        <w:t xml:space="preserve">Prepared for: VIGIL Product Team</w:t>
      </w:r>
    </w:p>
    <w:p>
      <w:pPr>
        <w:spacing w:after="60"/>
        <w:jc w:val="center"/>
      </w:pPr>
      <w:r>
        <w:rPr>
          <w:sz w:val="24"/>
          <w:szCs w:val="24"/>
        </w:rPr>
        <w:t xml:space="preserve">Date: April 21, 2026</w:t>
      </w:r>
    </w:p>
    <w:p>
      <w:pPr>
        <w:spacing w:after="60"/>
        <w:jc w:val="center"/>
      </w:pPr>
      <w:r>
        <w:rPr>
          <w:sz w:val="24"/>
          <w:szCs w:val="24"/>
        </w:rPr>
        <w:t xml:space="preserve">Version: 1.0</w:t>
      </w:r>
    </w:p>
    <w:p>
      <w:r>
        <w:br w:type="page"/>
      </w:r>
    </w:p>
    <w:p>
      <w:pPr>
        <w:pStyle w:val="Heading1"/>
        <w:spacing w:after="180" w:before="320"/>
      </w:pPr>
      <w:r>
        <w:t xml:space="preserve">1. Executive Summary</w:t>
      </w:r>
    </w:p>
    <w:p>
      <w:pPr>
        <w:spacing w:after="120"/>
      </w:pPr>
      <w:r>
        <w:t xml:space="preserve">VIGIL is positioned as a multi-tenant, unified operator console for PostgreSQL, MySQL/MariaDB, and MongoDB, combining live metrics, alerting, schema exploration, log analysis, and an embeddable SDK through which customer applications can stream API logs, errors, and audit events into the same dashboard. This report benchmarks VIGIL against eight established categories of competitors and identifies where VIGIL differentiates, where it achieves parity, and where material gaps exist.</w:t>
      </w:r>
    </w:p>
    <w:p>
      <w:pPr>
        <w:spacing w:after="120"/>
      </w:pPr>
      <w:r>
        <w:t xml:space="preserve">Headline findings:</w:t>
      </w:r>
    </w:p>
    <w:p>
      <w:pPr>
        <w:pStyle w:val="ListParagraph"/>
        <w:numPr>
          <w:ilvl w:val="0"/>
          <w:numId w:val="2"/>
        </w:numPr>
        <w:spacing w:after="80"/>
      </w:pPr>
      <w:r>
        <w:t xml:space="preserve">VIGIL occupies a defensible niche at the intersection of database monitoring, lightweight application observability, and administration tooling — a combination that no single competitor delivers out of the box.</w:t>
      </w:r>
    </w:p>
    <w:p>
      <w:pPr>
        <w:pStyle w:val="ListParagraph"/>
        <w:numPr>
          <w:ilvl w:val="0"/>
          <w:numId w:val="2"/>
        </w:numPr>
        <w:spacing w:after="80"/>
      </w:pPr>
      <w:r>
        <w:t xml:space="preserve">Against hyperscale observability suites (Datadog, New Relic), VIGIL is materially behind on scale, integrations breadth, APM/log analytics depth, and enterprise features (SSO/SAML, RBAC granularity, compliance).</w:t>
      </w:r>
    </w:p>
    <w:p>
      <w:pPr>
        <w:pStyle w:val="ListParagraph"/>
        <w:numPr>
          <w:ilvl w:val="0"/>
          <w:numId w:val="2"/>
        </w:numPr>
        <w:spacing w:after="80"/>
      </w:pPr>
      <w:r>
        <w:t xml:space="preserve">Against specialist database tools (pganalyze, Percona PMM, SolarWinds DPM), VIGIL trails in deep query-plan intelligence, historical baselining, and anomaly detection powered by dedicated ML models.</w:t>
      </w:r>
    </w:p>
    <w:p>
      <w:pPr>
        <w:pStyle w:val="ListParagraph"/>
        <w:numPr>
          <w:ilvl w:val="0"/>
          <w:numId w:val="2"/>
        </w:numPr>
        <w:spacing w:after="80"/>
      </w:pPr>
      <w:r>
        <w:t xml:space="preserve">Against admin/IDE tools (pgAdmin, DBeaver, MongoDB Compass), VIGIL wins on multi-engine unification and real-time dashboards but lags in query-authoring UX, schema-diff tooling, and data export.</w:t>
      </w:r>
    </w:p>
    <w:p>
      <w:pPr>
        <w:pStyle w:val="ListParagraph"/>
        <w:numPr>
          <w:ilvl w:val="0"/>
          <w:numId w:val="2"/>
        </w:numPr>
        <w:spacing w:after="80"/>
      </w:pPr>
      <w:r>
        <w:t xml:space="preserve">The single-pane-of-glass value proposition is compelling, but must be backed by faster roadmap execution on SSO/SAML, audit export, query-plan analysis, and a mature alerting DSL before enterprise buyers will displace incumbents.</w:t>
      </w:r>
    </w:p>
    <w:p>
      <w:r>
        <w:br w:type="page"/>
      </w:r>
    </w:p>
    <w:p>
      <w:pPr>
        <w:pStyle w:val="Heading1"/>
        <w:spacing w:after="180" w:before="320"/>
      </w:pPr>
      <w:r>
        <w:t xml:space="preserve">2. VIGIL Overview</w:t>
      </w:r>
    </w:p>
    <w:p>
      <w:pPr>
        <w:pStyle w:val="Heading2"/>
        <w:spacing w:after="140" w:before="240"/>
      </w:pPr>
      <w:r>
        <w:t xml:space="preserve">2.1 Product positioning</w:t>
      </w:r>
    </w:p>
    <w:p>
      <w:pPr>
        <w:spacing w:after="120"/>
      </w:pPr>
      <w:r>
        <w:t xml:space="preserve">VIGIL is a multi-tenant database monitoring and administration platform that ships a unified operator UI over PostgreSQL, MySQL/MariaDB, and MongoDB. It combines live metrics, alerting, schema exploration, log analysis, and an embeddable JavaScript SDK that customer apps can use to stream API logs, errors, and audit events into the same dashboard.</w:t>
      </w:r>
    </w:p>
    <w:p>
      <w:pPr>
        <w:pStyle w:val="Heading2"/>
        <w:spacing w:after="140" w:before="240"/>
      </w:pPr>
      <w:r>
        <w:t xml:space="preserve">2.2 Current capabilities</w:t>
      </w:r>
    </w:p>
    <w:p>
      <w:pPr>
        <w:pStyle w:val="ListParagraph"/>
        <w:numPr>
          <w:ilvl w:val="0"/>
          <w:numId w:val="2"/>
        </w:numPr>
        <w:spacing w:after="80"/>
      </w:pPr>
      <w:r>
        <w:t xml:space="preserve">Multi-engine database monitoring: PostgreSQL 14+, MySQL/MariaDB, MongoDB.</w:t>
      </w:r>
    </w:p>
    <w:p>
      <w:pPr>
        <w:pStyle w:val="ListParagraph"/>
        <w:numPr>
          <w:ilvl w:val="0"/>
          <w:numId w:val="2"/>
        </w:numPr>
        <w:spacing w:after="80"/>
      </w:pPr>
      <w:r>
        <w:t xml:space="preserve">Live metrics and a WebSocket-powered real-time dashboard.</w:t>
      </w:r>
    </w:p>
    <w:p>
      <w:pPr>
        <w:pStyle w:val="ListParagraph"/>
        <w:numPr>
          <w:ilvl w:val="0"/>
          <w:numId w:val="2"/>
        </w:numPr>
        <w:spacing w:after="80"/>
      </w:pPr>
      <w:r>
        <w:t xml:space="preserve">Alerting with a cron-driven monitoring runner (/api/alerts/run-monitoring).</w:t>
      </w:r>
    </w:p>
    <w:p>
      <w:pPr>
        <w:pStyle w:val="ListParagraph"/>
        <w:numPr>
          <w:ilvl w:val="0"/>
          <w:numId w:val="2"/>
        </w:numPr>
        <w:spacing w:after="80"/>
      </w:pPr>
      <w:r>
        <w:t xml:space="preserve">Schema exploration, connection management, and query execution via a CodeMirror-based editor.</w:t>
      </w:r>
    </w:p>
    <w:p>
      <w:pPr>
        <w:pStyle w:val="ListParagraph"/>
        <w:numPr>
          <w:ilvl w:val="0"/>
          <w:numId w:val="2"/>
        </w:numPr>
        <w:spacing w:after="80"/>
      </w:pPr>
      <w:r>
        <w:t xml:space="preserve">Log analysis surface and audit logging for control-plane activity.</w:t>
      </w:r>
    </w:p>
    <w:p>
      <w:pPr>
        <w:pStyle w:val="ListParagraph"/>
        <w:numPr>
          <w:ilvl w:val="0"/>
          <w:numId w:val="2"/>
        </w:numPr>
        <w:spacing w:after="80"/>
      </w:pPr>
      <w:r>
        <w:t xml:space="preserve">Zero-dependency JavaScript SDK (@vigil/sdk) for ingestion of API logs, errors, and audit events from customer apps.</w:t>
      </w:r>
    </w:p>
    <w:p>
      <w:pPr>
        <w:pStyle w:val="ListParagraph"/>
        <w:numPr>
          <w:ilvl w:val="0"/>
          <w:numId w:val="2"/>
        </w:numPr>
        <w:spacing w:after="80"/>
      </w:pPr>
      <w:r>
        <w:t xml:space="preserve">Pre-built connectors for Salesforce, Mulesoft, and multi-database sources.</w:t>
      </w:r>
    </w:p>
    <w:p>
      <w:pPr>
        <w:pStyle w:val="ListParagraph"/>
        <w:numPr>
          <w:ilvl w:val="0"/>
          <w:numId w:val="2"/>
        </w:numPr>
        <w:spacing w:after="80"/>
      </w:pPr>
      <w:r>
        <w:t xml:space="preserve">AES-256-GCM encryption of connection secrets at rest; JWT-based session auth; bcrypt password hashing.</w:t>
      </w:r>
    </w:p>
    <w:p>
      <w:pPr>
        <w:pStyle w:val="ListParagraph"/>
        <w:numPr>
          <w:ilvl w:val="0"/>
          <w:numId w:val="2"/>
        </w:numPr>
        <w:spacing w:after="80"/>
      </w:pPr>
      <w:r>
        <w:t xml:space="preserve">Custom Semgrep and Gitleaks rule packs for secure supply chain.</w:t>
      </w:r>
    </w:p>
    <w:p>
      <w:pPr>
        <w:pStyle w:val="ListParagraph"/>
        <w:numPr>
          <w:ilvl w:val="0"/>
          <w:numId w:val="2"/>
        </w:numPr>
        <w:spacing w:after="80"/>
      </w:pPr>
      <w:r>
        <w:t xml:space="preserve">Split deployment: Vercel (frontend + serverless API) plus a long-lived Node host (Railway/Fly/Render) for WebSocket/backend.</w:t>
      </w:r>
    </w:p>
    <w:p>
      <w:pPr>
        <w:pStyle w:val="Heading2"/>
        <w:spacing w:after="140" w:before="240"/>
      </w:pPr>
      <w:r>
        <w:t xml:space="preserve">2.3 Target users</w:t>
      </w:r>
    </w:p>
    <w:p>
      <w:pPr>
        <w:spacing w:after="120"/>
      </w:pPr>
      <w:r>
        <w:t xml:space="preserve">Platform engineers, database administrators, and SRE/DevOps teams at small-to-mid-size SaaS companies who need a single console across heterogeneous database fleets and want to unify application-side observability with database health in one place — without adopting a full-blown APM suite.</w:t>
      </w:r>
    </w:p>
    <w:p>
      <w:r>
        <w:br w:type="page"/>
      </w:r>
    </w:p>
    <w:p>
      <w:pPr>
        <w:pStyle w:val="Heading1"/>
        <w:spacing w:after="180" w:before="320"/>
      </w:pPr>
      <w:r>
        <w:t xml:space="preserve">3. Competitive Landscape</w:t>
      </w:r>
    </w:p>
    <w:p>
      <w:pPr>
        <w:spacing w:after="120"/>
      </w:pPr>
      <w:r>
        <w:t xml:space="preserve">We group the market into four competitive clusters. VIGIL competes, to varying degrees, with tools in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left"/>
            </w:pPr>
            <w:r>
              <w:rPr>
                <w:b/>
                <w:bCs/>
                <w:color w:val="FFFFFF"/>
                <w:sz w:val="20"/>
                <w:szCs w:val="20"/>
              </w:rPr>
              <w:t xml:space="preserve">Cluster</w:t>
            </w:r>
          </w:p>
        </w:tc>
        <w:tc>
          <w:tcPr>
            <w:tcW w:type="dxa" w:w="34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left"/>
            </w:pPr>
            <w:r>
              <w:rPr>
                <w:b/>
                <w:bCs/>
                <w:color w:val="FFFFFF"/>
                <w:sz w:val="20"/>
                <w:szCs w:val="20"/>
              </w:rPr>
              <w:t xml:space="preserve">Representative tools</w:t>
            </w:r>
          </w:p>
        </w:tc>
        <w:tc>
          <w:tcPr>
            <w:tcW w:type="dxa" w:w="376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left"/>
            </w:pPr>
            <w:r>
              <w:rPr>
                <w:b/>
                <w:bCs/>
                <w:color w:val="FFFFFF"/>
                <w:sz w:val="20"/>
                <w:szCs w:val="20"/>
              </w:rPr>
              <w:t xml:space="preserve">Primary value proposition</w:t>
            </w:r>
          </w:p>
        </w:tc>
      </w:tr>
      <w:tr>
        <w:tc>
          <w:tcPr>
            <w:tcW w:type="dxa" w:w="22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20"/>
                <w:szCs w:val="20"/>
              </w:rPr>
              <w:t xml:space="preserve">Hyperscale observability</w:t>
            </w:r>
          </w:p>
        </w:tc>
        <w:tc>
          <w:tcPr>
            <w:tcW w:type="dxa" w:w="34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val="false"/>
                <w:bCs w:val="false"/>
                <w:color w:val="000000"/>
                <w:sz w:val="20"/>
                <w:szCs w:val="20"/>
              </w:rPr>
              <w:t xml:space="preserve">Datadog DBM, New Relic, Dynatrace, Grafana Cloud</w:t>
            </w:r>
          </w:p>
        </w:tc>
        <w:tc>
          <w:tcPr>
            <w:tcW w:type="dxa" w:w="376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val="false"/>
                <w:bCs w:val="false"/>
                <w:color w:val="000000"/>
                <w:sz w:val="20"/>
                <w:szCs w:val="20"/>
              </w:rPr>
              <w:t xml:space="preserve">Unified metrics/logs/traces/APM across entire infrastructure with deep integrations.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20"/>
                <w:szCs w:val="20"/>
              </w:rPr>
              <w:t xml:space="preserve">Specialist DB monitoring</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color w:val="000000"/>
                <w:sz w:val="20"/>
                <w:szCs w:val="20"/>
              </w:rPr>
              <w:t xml:space="preserve">pganalyze, Percona PMM, SolarWinds DPM (VividCortex), Redgate SQL Monitor</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color w:val="000000"/>
                <w:sz w:val="20"/>
                <w:szCs w:val="20"/>
              </w:rPr>
              <w:t xml:space="preserve">Deep query-plan intelligence, historical baselining, and tuning recommendations for a specific engine.</w:t>
            </w:r>
          </w:p>
        </w:tc>
      </w:tr>
      <w:tr>
        <w:tc>
          <w:tcPr>
            <w:tcW w:type="dxa" w:w="22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20"/>
                <w:szCs w:val="20"/>
              </w:rPr>
              <w:t xml:space="preserve">Cloud-native DB insights</w:t>
            </w:r>
          </w:p>
        </w:tc>
        <w:tc>
          <w:tcPr>
            <w:tcW w:type="dxa" w:w="34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val="false"/>
                <w:bCs w:val="false"/>
                <w:color w:val="000000"/>
                <w:sz w:val="20"/>
                <w:szCs w:val="20"/>
              </w:rPr>
              <w:t xml:space="preserve">AWS RDS Performance Insights, Azure SQL Insights, GCP Cloud SQL Insights</w:t>
            </w:r>
          </w:p>
        </w:tc>
        <w:tc>
          <w:tcPr>
            <w:tcW w:type="dxa" w:w="376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val="false"/>
                <w:bCs w:val="false"/>
                <w:color w:val="000000"/>
                <w:sz w:val="20"/>
                <w:szCs w:val="20"/>
              </w:rPr>
              <w:t xml:space="preserve">Tight integration with the cloud vendor's managed database service.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20"/>
                <w:szCs w:val="20"/>
              </w:rPr>
              <w:t xml:space="preserve">Admin &amp; IDE tools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color w:val="000000"/>
                <w:sz w:val="20"/>
                <w:szCs w:val="20"/>
              </w:rPr>
              <w:t xml:space="preserve">pgAdmin, phpMyAdmin, DBeaver, DataGrip, MongoDB Compass, TablePlus</w:t>
            </w:r>
          </w:p>
        </w:tc>
        <w:tc>
          <w:tcPr>
            <w:tcW w:type="dxa" w:w="376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val="false"/>
                <w:bCs w:val="false"/>
                <w:color w:val="000000"/>
                <w:sz w:val="20"/>
                <w:szCs w:val="20"/>
              </w:rPr>
              <w:t xml:space="preserve">Schema browsing, query authoring, and ad-hoc administration.</w:t>
            </w:r>
          </w:p>
        </w:tc>
      </w:tr>
      <w:tr>
        <w:tc>
          <w:tcPr>
            <w:tcW w:type="dxa" w:w="22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20"/>
                <w:szCs w:val="20"/>
              </w:rPr>
              <w:t xml:space="preserve">Open-source DIY stacks</w:t>
            </w:r>
          </w:p>
        </w:tc>
        <w:tc>
          <w:tcPr>
            <w:tcW w:type="dxa" w:w="34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val="false"/>
                <w:bCs w:val="false"/>
                <w:color w:val="000000"/>
                <w:sz w:val="20"/>
                <w:szCs w:val="20"/>
              </w:rPr>
              <w:t xml:space="preserve">Prometheus + Grafana with postgres_exporter/mysqld_exporter, Zabbix, Nagios</w:t>
            </w:r>
          </w:p>
        </w:tc>
        <w:tc>
          <w:tcPr>
            <w:tcW w:type="dxa" w:w="376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val="false"/>
                <w:bCs w:val="false"/>
                <w:color w:val="000000"/>
                <w:sz w:val="20"/>
                <w:szCs w:val="20"/>
              </w:rPr>
              <w:t xml:space="preserve">Flexible, self-hosted, low-cost monitoring if you assemble the pieces.</w:t>
            </w:r>
          </w:p>
        </w:tc>
      </w:tr>
    </w:tbl>
    <w:p>
      <w:r>
        <w:br w:type="page"/>
      </w:r>
    </w:p>
    <w:p>
      <w:pPr>
        <w:pStyle w:val="Heading1"/>
        <w:spacing w:after="180" w:before="320"/>
      </w:pPr>
      <w:r>
        <w:t xml:space="preserve">4. Feature Comparison Matrix</w:t>
      </w:r>
    </w:p>
    <w:p>
      <w:pPr>
        <w:spacing w:after="120"/>
      </w:pPr>
      <w:r>
        <w:t xml:space="preserve">A side-by-side comparison of capabilities across VIGIL and five representative competitors. Legend: Yes = fully supported, Partial = limited or requires workarounds, No =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50"/>
        <w:gridCol w:w="1300"/>
        <w:gridCol w:w="1240"/>
        <w:gridCol w:w="1320"/>
        <w:gridCol w:w="1220"/>
        <w:gridCol w:w="1130"/>
      </w:tblGrid>
      <w:tr>
        <w:trPr>
          <w:tblHeader/>
        </w:trPr>
        <w:tc>
          <w:tcPr>
            <w:tcW w:type="dxa" w:w="21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center"/>
            </w:pPr>
            <w:r>
              <w:rPr>
                <w:b/>
                <w:bCs/>
                <w:color w:val="FFFFFF"/>
                <w:sz w:val="18"/>
                <w:szCs w:val="18"/>
              </w:rPr>
              <w:t xml:space="preserve">Capability</w:t>
            </w:r>
          </w:p>
        </w:tc>
        <w:tc>
          <w:tcPr>
            <w:tcW w:type="dxa" w:w="105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center"/>
            </w:pPr>
            <w:r>
              <w:rPr>
                <w:b/>
                <w:bCs/>
                <w:color w:val="FFFFFF"/>
                <w:sz w:val="18"/>
                <w:szCs w:val="18"/>
              </w:rPr>
              <w:t xml:space="preserve">VIGIL</w:t>
            </w:r>
          </w:p>
        </w:tc>
        <w:tc>
          <w:tcPr>
            <w:tcW w:type="dxa" w:w="130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center"/>
            </w:pPr>
            <w:r>
              <w:rPr>
                <w:b/>
                <w:bCs/>
                <w:color w:val="FFFFFF"/>
                <w:sz w:val="18"/>
                <w:szCs w:val="18"/>
              </w:rPr>
              <w:t xml:space="preserve">Datadog DBM</w:t>
            </w:r>
          </w:p>
        </w:tc>
        <w:tc>
          <w:tcPr>
            <w:tcW w:type="dxa" w:w="124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center"/>
            </w:pPr>
            <w:r>
              <w:rPr>
                <w:b/>
                <w:bCs/>
                <w:color w:val="FFFFFF"/>
                <w:sz w:val="18"/>
                <w:szCs w:val="18"/>
              </w:rPr>
              <w:t xml:space="preserve">pganalyze</w:t>
            </w:r>
          </w:p>
        </w:tc>
        <w:tc>
          <w:tcPr>
            <w:tcW w:type="dxa" w:w="132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center"/>
            </w:pPr>
            <w:r>
              <w:rPr>
                <w:b/>
                <w:bCs/>
                <w:color w:val="FFFFFF"/>
                <w:sz w:val="18"/>
                <w:szCs w:val="18"/>
              </w:rPr>
              <w:t xml:space="preserve">Percona PMM</w:t>
            </w:r>
          </w:p>
        </w:tc>
        <w:tc>
          <w:tcPr>
            <w:tcW w:type="dxa" w:w="122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center"/>
            </w:pPr>
            <w:r>
              <w:rPr>
                <w:b/>
                <w:bCs/>
                <w:color w:val="FFFFFF"/>
                <w:sz w:val="18"/>
                <w:szCs w:val="18"/>
              </w:rPr>
              <w:t xml:space="preserve">AWS RDS PI</w:t>
            </w:r>
          </w:p>
        </w:tc>
        <w:tc>
          <w:tcPr>
            <w:tcW w:type="dxa" w:w="1130"/>
            <w:tcBorders>
              <w:top w:val="single" w:color="BFBFBF" w:sz="6"/>
              <w:left w:val="single" w:color="BFBFBF" w:sz="6"/>
              <w:bottom w:val="single" w:color="BFBFBF" w:sz="6"/>
              <w:right w:val="single" w:color="BFBFBF" w:sz="6"/>
            </w:tcBorders>
            <w:shd w:fill="1F3A5F" w:val="clear"/>
            <w:tcMar>
              <w:top w:type="dxa" w:w="80"/>
              <w:left w:type="dxa" w:w="120"/>
              <w:bottom w:type="dxa" w:w="80"/>
              <w:right w:type="dxa" w:w="120"/>
            </w:tcMar>
          </w:tcPr>
          <w:p>
            <w:pPr>
              <w:jc w:val="center"/>
            </w:pPr>
            <w:r>
              <w:rPr>
                <w:b/>
                <w:bCs/>
                <w:color w:val="FFFFFF"/>
                <w:sz w:val="18"/>
                <w:szCs w:val="18"/>
              </w:rPr>
              <w:t xml:space="preserve">pgAdmin/DBeaver</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Multi-engine (Postgres/MySQL/Mongo)</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 (PG only)</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 (PG/MySQL)</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 (vendor-specific)</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Real-time metrics via WebSocket</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Historical baselining (weeks/months)</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Query plan analysis / EXPLAIN capture</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 (best-in-class)</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Index recommendations</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Anomaly detection / ML</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Alerting with DSL/expressions</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Log ingestion &amp; analysis</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Application SDK / custom event ingest</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 (DD SDK)</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Schema exploration UI</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Query editor / ad-hoc execution</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Multi-tenant workspaces</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SSO/SAML &amp; enterprise RBAC</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SOC2 / HIPAA / ISO attestations</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In progress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N/A</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On-prem / self-host option</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Free tier</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 (OSS)</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 (bundled)</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 (OSS)</w:t>
            </w:r>
          </w:p>
        </w:tc>
      </w:tr>
      <w:tr>
        <w:tc>
          <w:tcPr>
            <w:tcW w:type="dxa" w:w="21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left"/>
            </w:pPr>
            <w:r>
              <w:rPr>
                <w:b/>
                <w:bCs/>
                <w:color w:val="000000"/>
                <w:sz w:val="18"/>
                <w:szCs w:val="18"/>
              </w:rPr>
              <w:t xml:space="preserve">Pre-built app connectors (SF, Mulesoft)</w:t>
            </w:r>
          </w:p>
        </w:tc>
        <w:tc>
          <w:tcPr>
            <w:tcW w:type="dxa" w:w="105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w:t>
            </w:r>
          </w:p>
        </w:tc>
        <w:tc>
          <w:tcPr>
            <w:tcW w:type="dxa" w:w="130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1E7E34"/>
                <w:sz w:val="18"/>
                <w:szCs w:val="18"/>
              </w:rPr>
              <w:t xml:space="preserve">Yes (marketplace)</w:t>
            </w:r>
          </w:p>
        </w:tc>
        <w:tc>
          <w:tcPr>
            <w:tcW w:type="dxa" w:w="124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3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22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c>
          <w:tcPr>
            <w:tcW w:type="dxa" w:w="1130"/>
            <w:tcBorders>
              <w:top w:val="single" w:color="BFBFBF" w:sz="6"/>
              <w:left w:val="single" w:color="BFBFBF" w:sz="6"/>
              <w:bottom w:val="single" w:color="BFBFBF" w:sz="6"/>
              <w:right w:val="single" w:color="BFBFBF" w:sz="6"/>
            </w:tcBorders>
            <w:shd w:fill="F2F5FA" w:val="clear"/>
            <w:tcMar>
              <w:top w:type="dxa" w:w="80"/>
              <w:left w:type="dxa" w:w="120"/>
              <w:bottom w:type="dxa" w:w="80"/>
              <w:right w:type="dxa" w:w="120"/>
            </w:tcMar>
          </w:tcPr>
          <w:p>
            <w:pPr>
              <w:jc w:val="center"/>
            </w:pPr>
            <w:r>
              <w:rPr>
                <w:b w:val="false"/>
                <w:bCs w:val="false"/>
                <w:color w:val="B02A37"/>
                <w:sz w:val="18"/>
                <w:szCs w:val="18"/>
              </w:rPr>
              <w:t xml:space="preserve">No</w:t>
            </w:r>
          </w:p>
        </w:tc>
      </w:tr>
      <w:tr>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left"/>
            </w:pPr>
            <w:r>
              <w:rPr>
                <w:b/>
                <w:bCs/>
                <w:color w:val="000000"/>
                <w:sz w:val="18"/>
                <w:szCs w:val="18"/>
              </w:rPr>
              <w:t xml:space="preserve">Mobile / responsive UI</w:t>
            </w:r>
          </w:p>
        </w:tc>
        <w:tc>
          <w:tcPr>
            <w:tcW w:type="dxa" w:w="105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1E7E34"/>
                <w:sz w:val="18"/>
                <w:szCs w:val="18"/>
              </w:rPr>
              <w:t xml:space="preserve">Yes</w:t>
            </w:r>
          </w:p>
        </w:tc>
        <w:tc>
          <w:tcPr>
            <w:tcW w:type="dxa" w:w="124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3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22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26A00"/>
                <w:sz w:val="18"/>
                <w:szCs w:val="18"/>
              </w:rPr>
              <w:t xml:space="preserve">Partial</w:t>
            </w:r>
          </w:p>
        </w:tc>
        <w:tc>
          <w:tcPr>
            <w:tcW w:type="dxa" w:w="1130"/>
            <w:tcBorders>
              <w:top w:val="single" w:color="BFBFBF" w:sz="6"/>
              <w:left w:val="single" w:color="BFBFBF" w:sz="6"/>
              <w:bottom w:val="single" w:color="BFBFBF" w:sz="6"/>
              <w:right w:val="single" w:color="BFBFBF" w:sz="6"/>
            </w:tcBorders>
            <w:tcMar>
              <w:top w:type="dxa" w:w="80"/>
              <w:left w:type="dxa" w:w="120"/>
              <w:bottom w:type="dxa" w:w="80"/>
              <w:right w:type="dxa" w:w="120"/>
            </w:tcMar>
          </w:tcPr>
          <w:p>
            <w:pPr>
              <w:jc w:val="center"/>
            </w:pPr>
            <w:r>
              <w:rPr>
                <w:b w:val="false"/>
                <w:bCs w:val="false"/>
                <w:color w:val="B02A37"/>
                <w:sz w:val="18"/>
                <w:szCs w:val="18"/>
              </w:rPr>
              <w:t xml:space="preserve">No</w:t>
            </w:r>
          </w:p>
        </w:tc>
      </w:tr>
    </w:tbl>
    <w:p>
      <w:r>
        <w:br w:type="page"/>
      </w:r>
    </w:p>
    <w:p>
      <w:pPr>
        <w:pStyle w:val="Heading1"/>
        <w:spacing w:after="180" w:before="320"/>
      </w:pPr>
      <w:r>
        <w:t xml:space="preserve">5. Gap Analysis by Category</w:t>
      </w:r>
    </w:p>
    <w:p>
      <w:pPr>
        <w:pStyle w:val="Heading2"/>
        <w:spacing w:after="140" w:before="240"/>
      </w:pPr>
      <w:r>
        <w:t xml:space="preserve">5.1 Breadth of integrations</w:t>
      </w:r>
    </w:p>
    <w:p>
      <w:pPr>
        <w:spacing w:after="120"/>
      </w:pPr>
      <w:r>
        <w:t xml:space="preserve">Market leaders ship hundreds of pre-built integrations. Datadog alone advertises 800+ integrations across infrastructure, cloud vendors, and SaaS. VIGIL currently ships three first-party connectors (Salesforce, Mulesoft, multi-database).</w:t>
      </w:r>
    </w:p>
    <w:p>
      <w:pPr>
        <w:pStyle w:val="ListParagraph"/>
        <w:numPr>
          <w:ilvl w:val="0"/>
          <w:numId w:val="2"/>
        </w:numPr>
        <w:spacing w:after="80"/>
      </w:pPr>
      <w:r>
        <w:rPr>
          <w:b/>
          <w:bCs/>
        </w:rPr>
        <w:t xml:space="preserve">Gap: </w:t>
      </w:r>
      <w:r>
        <w:t xml:space="preserve">Narrow integration footprint limits VIGIL's usefulness for teams whose observability needs extend beyond databases (queues, caches, message brokers, cloud services).</w:t>
      </w:r>
    </w:p>
    <w:p>
      <w:pPr>
        <w:pStyle w:val="ListParagraph"/>
        <w:numPr>
          <w:ilvl w:val="0"/>
          <w:numId w:val="2"/>
        </w:numPr>
        <w:spacing w:after="80"/>
      </w:pPr>
      <w:r>
        <w:rPr>
          <w:b/>
          <w:bCs/>
        </w:rPr>
        <w:t xml:space="preserve">Impact: </w:t>
      </w:r>
      <w:r>
        <w:t xml:space="preserve">Enterprise buyers will keep their existing APM/observability tool and relegate VIGIL to a secondary role, shrinking wallet share.</w:t>
      </w:r>
    </w:p>
    <w:p>
      <w:pPr>
        <w:pStyle w:val="Heading2"/>
        <w:spacing w:after="140" w:before="240"/>
      </w:pPr>
      <w:r>
        <w:t xml:space="preserve">5.2 Query performance intelligence</w:t>
      </w:r>
    </w:p>
    <w:p>
      <w:pPr>
        <w:spacing w:after="120"/>
      </w:pPr>
      <w:r>
        <w:t xml:space="preserve">pganalyze is the benchmark for PostgreSQL query tuning: automatic EXPLAIN plan collection, visual plan diffs, index-advisor recommendations, and lock/contention analysis. Datadog DBM and SolarWinds DPM offer comparable features across engines. VIGIL provides query execution and schema browsing but not a dedicated plan intelligence layer.</w:t>
      </w:r>
    </w:p>
    <w:p>
      <w:pPr>
        <w:pStyle w:val="ListParagraph"/>
        <w:numPr>
          <w:ilvl w:val="0"/>
          <w:numId w:val="2"/>
        </w:numPr>
        <w:spacing w:after="80"/>
      </w:pPr>
      <w:r>
        <w:rPr>
          <w:b/>
          <w:bCs/>
        </w:rPr>
        <w:t xml:space="preserve">Gap: </w:t>
      </w:r>
      <w:r>
        <w:t xml:space="preserve">No EXPLAIN-plan capture pipeline, no visual plan tree, no index-advisor, and no wait-event analysis (for PostgreSQL's pg_stat_activity/pg_wait_sampling).</w:t>
      </w:r>
    </w:p>
    <w:p>
      <w:pPr>
        <w:pStyle w:val="ListParagraph"/>
        <w:numPr>
          <w:ilvl w:val="0"/>
          <w:numId w:val="2"/>
        </w:numPr>
        <w:spacing w:after="80"/>
      </w:pPr>
      <w:r>
        <w:rPr>
          <w:b/>
          <w:bCs/>
        </w:rPr>
        <w:t xml:space="preserve">Impact: </w:t>
      </w:r>
      <w:r>
        <w:t xml:space="preserve">DBAs optimizing slow queries will still open pganalyze, PMM Query Analytics, or the engine's native tooling — VIGIL becomes an adjunct rather than the primary tool.</w:t>
      </w:r>
    </w:p>
    <w:p>
      <w:pPr>
        <w:pStyle w:val="Heading2"/>
        <w:spacing w:after="140" w:before="240"/>
      </w:pPr>
      <w:r>
        <w:t xml:space="preserve">5.3 Historical baselining and anomaly detection</w:t>
      </w:r>
    </w:p>
    <w:p>
      <w:pPr>
        <w:spacing w:after="120"/>
      </w:pPr>
      <w:r>
        <w:t xml:space="preserve">Datadog, New Relic, and pganalyze retain weeks-to-months of high-resolution history and apply ML-driven anomaly detection (Watchdog, Proactive Detection, pganalyze EXPLAIN Insights). VIGIL's alerting is cron-driven and threshold-based.</w:t>
      </w:r>
    </w:p>
    <w:p>
      <w:pPr>
        <w:pStyle w:val="ListParagraph"/>
        <w:numPr>
          <w:ilvl w:val="0"/>
          <w:numId w:val="2"/>
        </w:numPr>
        <w:spacing w:after="80"/>
      </w:pPr>
      <w:r>
        <w:rPr>
          <w:b/>
          <w:bCs/>
        </w:rPr>
        <w:t xml:space="preserve">Gap: </w:t>
      </w:r>
      <w:r>
        <w:t xml:space="preserve">No long-term metric retention strategy documented, no forecasting, no seasonal baselines, no automatic anomaly detection.</w:t>
      </w:r>
    </w:p>
    <w:p>
      <w:pPr>
        <w:pStyle w:val="ListParagraph"/>
        <w:numPr>
          <w:ilvl w:val="0"/>
          <w:numId w:val="2"/>
        </w:numPr>
        <w:spacing w:after="80"/>
      </w:pPr>
      <w:r>
        <w:rPr>
          <w:b/>
          <w:bCs/>
        </w:rPr>
        <w:t xml:space="preserve">Impact: </w:t>
      </w:r>
      <w:r>
        <w:t xml:space="preserve">On-call engineers receive alerts only for hard thresholds they remember to configure, missing gradual regressions and off-hours anomalies.</w:t>
      </w:r>
    </w:p>
    <w:p>
      <w:pPr>
        <w:pStyle w:val="Heading2"/>
        <w:spacing w:after="140" w:before="240"/>
      </w:pPr>
      <w:r>
        <w:t xml:space="preserve">5.4 Enterprise-grade authentication &amp; governance</w:t>
      </w:r>
    </w:p>
    <w:p>
      <w:pPr>
        <w:spacing w:after="120"/>
      </w:pPr>
      <w:r>
        <w:t xml:space="preserve">Enterprise buyers expect SAML SSO, SCIM user provisioning, fine-grained RBAC, immutable audit logs with export, IP allow-listing, data residency controls, and SOC 2 Type II / ISO 27001 / HIPAA attestations. Datadog, New Relic, pganalyze, and SolarWinds ship these by default.</w:t>
      </w:r>
    </w:p>
    <w:p>
      <w:pPr>
        <w:pStyle w:val="ListParagraph"/>
        <w:numPr>
          <w:ilvl w:val="0"/>
          <w:numId w:val="2"/>
        </w:numPr>
        <w:spacing w:after="80"/>
      </w:pPr>
      <w:r>
        <w:rPr>
          <w:b/>
          <w:bCs/>
        </w:rPr>
        <w:t xml:space="preserve">Gap: </w:t>
      </w:r>
      <w:r>
        <w:t xml:space="preserve">VIGIL today supports JWT-based username/password auth with an admin-password-on-first-run bootstrap. No SSO, no SCIM, no SAML, no formal compliance attestation.</w:t>
      </w:r>
    </w:p>
    <w:p>
      <w:pPr>
        <w:pStyle w:val="ListParagraph"/>
        <w:numPr>
          <w:ilvl w:val="0"/>
          <w:numId w:val="2"/>
        </w:numPr>
        <w:spacing w:after="80"/>
      </w:pPr>
      <w:r>
        <w:rPr>
          <w:b/>
          <w:bCs/>
        </w:rPr>
        <w:t xml:space="preserve">Impact: </w:t>
      </w:r>
      <w:r>
        <w:t xml:space="preserve">VIGIL will be blocked in any procurement process that requires a completed security questionnaire and SOC 2 report.</w:t>
      </w:r>
    </w:p>
    <w:p>
      <w:pPr>
        <w:pStyle w:val="Heading2"/>
        <w:spacing w:after="140" w:before="240"/>
      </w:pPr>
      <w:r>
        <w:t xml:space="preserve">5.5 Alerting sophistication</w:t>
      </w:r>
    </w:p>
    <w:p>
      <w:pPr>
        <w:spacing w:after="120"/>
      </w:pPr>
      <w:r>
        <w:t xml:space="preserve">Competitors offer expression-based alerts (Datadog Monitor Query Language, PromQL), composite conditions, routing policies (PagerDuty/Opsgenie integration with escalation), alert suppression windows, and runbook links. VIGIL's /api/alerts/run-monitoring endpoint runs on cron with bearer auth.</w:t>
      </w:r>
    </w:p>
    <w:p>
      <w:pPr>
        <w:pStyle w:val="ListParagraph"/>
        <w:numPr>
          <w:ilvl w:val="0"/>
          <w:numId w:val="2"/>
        </w:numPr>
        <w:spacing w:after="80"/>
      </w:pPr>
      <w:r>
        <w:rPr>
          <w:b/>
          <w:bCs/>
        </w:rPr>
        <w:t xml:space="preserve">Gap: </w:t>
      </w:r>
      <w:r>
        <w:t xml:space="preserve">No user-facing alert DSL, limited routing integrations, no maintenance windows or flapping detection documented.</w:t>
      </w:r>
    </w:p>
    <w:p>
      <w:pPr>
        <w:pStyle w:val="ListParagraph"/>
        <w:numPr>
          <w:ilvl w:val="0"/>
          <w:numId w:val="2"/>
        </w:numPr>
        <w:spacing w:after="80"/>
      </w:pPr>
      <w:r>
        <w:rPr>
          <w:b/>
          <w:bCs/>
        </w:rPr>
        <w:t xml:space="preserve">Impact: </w:t>
      </w:r>
      <w:r>
        <w:t xml:space="preserve">Teams with mature on-call practices will keep PagerDuty/Opsgenie + a richer monitoring source as the alerting surface of record.</w:t>
      </w:r>
    </w:p>
    <w:p>
      <w:pPr>
        <w:pStyle w:val="Heading2"/>
        <w:spacing w:after="140" w:before="240"/>
      </w:pPr>
      <w:r>
        <w:t xml:space="preserve">5.6 Query authoring &amp; admin UX</w:t>
      </w:r>
    </w:p>
    <w:p>
      <w:pPr>
        <w:spacing w:after="120"/>
      </w:pPr>
      <w:r>
        <w:t xml:space="preserve">DBeaver, DataGrip, and pgAdmin are the gold standard for query authoring: autocomplete, function documentation, query history, ER diagrams, data export (CSV/JSON/Parquet), schema diff, and migration script generation. VIGIL uses CodeMirror 6 but provides a thinner admin experience.</w:t>
      </w:r>
    </w:p>
    <w:p>
      <w:pPr>
        <w:pStyle w:val="ListParagraph"/>
        <w:numPr>
          <w:ilvl w:val="0"/>
          <w:numId w:val="2"/>
        </w:numPr>
        <w:spacing w:after="80"/>
      </w:pPr>
      <w:r>
        <w:rPr>
          <w:b/>
          <w:bCs/>
        </w:rPr>
        <w:t xml:space="preserve">Gap: </w:t>
      </w:r>
      <w:r>
        <w:t xml:space="preserve">No schema diff, limited export formats, no ER diagram view, no visual data editor, no saved-query sharing within a workspace documented.</w:t>
      </w:r>
    </w:p>
    <w:p>
      <w:pPr>
        <w:pStyle w:val="ListParagraph"/>
        <w:numPr>
          <w:ilvl w:val="0"/>
          <w:numId w:val="2"/>
        </w:numPr>
        <w:spacing w:after="80"/>
      </w:pPr>
      <w:r>
        <w:rPr>
          <w:b/>
          <w:bCs/>
        </w:rPr>
        <w:t xml:space="preserve">Impact: </w:t>
      </w:r>
      <w:r>
        <w:t xml:space="preserve">Power users continue to keep a desktop SQL IDE open alongside VIGIL.</w:t>
      </w:r>
    </w:p>
    <w:p>
      <w:pPr>
        <w:pStyle w:val="Heading2"/>
        <w:spacing w:after="140" w:before="240"/>
      </w:pPr>
      <w:r>
        <w:t xml:space="preserve">5.7 Scale, reliability, and cost story</w:t>
      </w:r>
    </w:p>
    <w:p>
      <w:pPr>
        <w:spacing w:after="120"/>
      </w:pPr>
      <w:r>
        <w:t xml:space="preserve">Datadog and New Relic absorb millions of data points per second and publicly document ingest SLAs. VIGIL's architecture (Vercel Serverless front, Railway/Fly/Render backend, Neon Postgres control plane) is appropriate for small-to-mid-size fleets but has not been load-tested or priced at enterprise scale.</w:t>
      </w:r>
    </w:p>
    <w:p>
      <w:pPr>
        <w:pStyle w:val="ListParagraph"/>
        <w:numPr>
          <w:ilvl w:val="0"/>
          <w:numId w:val="2"/>
        </w:numPr>
        <w:spacing w:after="80"/>
      </w:pPr>
      <w:r>
        <w:rPr>
          <w:b/>
          <w:bCs/>
        </w:rPr>
        <w:t xml:space="preserve">Gap: </w:t>
      </w:r>
      <w:r>
        <w:t xml:space="preserve">No public scalability benchmarks, no tiered pricing model, no ingest-rate SLA, no documented disaster-recovery RPO/RTO.</w:t>
      </w:r>
    </w:p>
    <w:p>
      <w:pPr>
        <w:pStyle w:val="ListParagraph"/>
        <w:numPr>
          <w:ilvl w:val="0"/>
          <w:numId w:val="2"/>
        </w:numPr>
        <w:spacing w:after="80"/>
      </w:pPr>
      <w:r>
        <w:rPr>
          <w:b/>
          <w:bCs/>
        </w:rPr>
        <w:t xml:space="preserve">Impact: </w:t>
      </w:r>
      <w:r>
        <w:t xml:space="preserve">Prospective buyers cannot size VIGIL for growth or compare total cost of ownership against incumbents.</w:t>
      </w:r>
    </w:p>
    <w:p>
      <w:pPr>
        <w:pStyle w:val="Heading2"/>
        <w:spacing w:after="140" w:before="240"/>
      </w:pPr>
      <w:r>
        <w:t xml:space="preserve">5.8 Documentation, community, and ecosystem</w:t>
      </w:r>
    </w:p>
    <w:p>
      <w:pPr>
        <w:spacing w:after="120"/>
      </w:pPr>
      <w:r>
        <w:t xml:space="preserve">Datadog, Grafana, and Percona PMM benefit from extensive docs, large user communities, third-party plugins, and conference presence. VIGIL ships a README, an SDK README, and internal audit docs.</w:t>
      </w:r>
    </w:p>
    <w:p>
      <w:pPr>
        <w:pStyle w:val="ListParagraph"/>
        <w:numPr>
          <w:ilvl w:val="0"/>
          <w:numId w:val="2"/>
        </w:numPr>
        <w:spacing w:after="80"/>
      </w:pPr>
      <w:r>
        <w:rPr>
          <w:b/>
          <w:bCs/>
        </w:rPr>
        <w:t xml:space="preserve">Gap: </w:t>
      </w:r>
      <w:r>
        <w:t xml:space="preserve">No public marketing site documented, no dashboard marketplace, no community forum, no plugin/extension API.</w:t>
      </w:r>
    </w:p>
    <w:p>
      <w:pPr>
        <w:pStyle w:val="ListParagraph"/>
        <w:numPr>
          <w:ilvl w:val="0"/>
          <w:numId w:val="2"/>
        </w:numPr>
        <w:spacing w:after="80"/>
      </w:pPr>
      <w:r>
        <w:rPr>
          <w:b/>
          <w:bCs/>
        </w:rPr>
        <w:t xml:space="preserve">Impact: </w:t>
      </w:r>
      <w:r>
        <w:t xml:space="preserve">Customer self-service is limited, which raises support burden and slows pipeline conversion.</w:t>
      </w:r>
    </w:p>
    <w:p>
      <w:r>
        <w:br w:type="page"/>
      </w:r>
    </w:p>
    <w:p>
      <w:pPr>
        <w:pStyle w:val="Heading1"/>
        <w:spacing w:after="180" w:before="320"/>
      </w:pPr>
      <w:r>
        <w:t xml:space="preserve">6. VIGIL's Differentiated Strengths</w:t>
      </w:r>
    </w:p>
    <w:p>
      <w:pPr>
        <w:spacing w:after="120"/>
      </w:pPr>
      <w:r>
        <w:t xml:space="preserve">Despite the gaps, VIGIL has a coherent wedge that larger competitors have not prioritized:</w:t>
      </w:r>
    </w:p>
    <w:p>
      <w:pPr>
        <w:pStyle w:val="ListParagraph"/>
        <w:numPr>
          <w:ilvl w:val="0"/>
          <w:numId w:val="2"/>
        </w:numPr>
        <w:spacing w:after="80"/>
      </w:pPr>
      <w:r>
        <w:rPr>
          <w:b/>
          <w:bCs/>
        </w:rPr>
        <w:t xml:space="preserve">Unified control plane across heterogeneous databases: </w:t>
      </w:r>
      <w:r>
        <w:t xml:space="preserve">One UI for PostgreSQL + MySQL + MongoDB, multi-tenant by design. Datadog covers all three but as read-only monitoring; VIGIL adds administration and query execution.</w:t>
      </w:r>
    </w:p>
    <w:p>
      <w:pPr>
        <w:pStyle w:val="ListParagraph"/>
        <w:numPr>
          <w:ilvl w:val="0"/>
          <w:numId w:val="2"/>
        </w:numPr>
        <w:spacing w:after="80"/>
      </w:pPr>
      <w:r>
        <w:rPr>
          <w:b/>
          <w:bCs/>
        </w:rPr>
        <w:t xml:space="preserve">Application-side SDK ingestion into the same dashboard: </w:t>
      </w:r>
      <w:r>
        <w:t xml:space="preserve">Customer apps can stream API logs, errors, and audit events alongside database metrics. This converges two SKUs (APM + DBM) in one tool — a meaningful cost story for SaaS mid-market.</w:t>
      </w:r>
    </w:p>
    <w:p>
      <w:pPr>
        <w:pStyle w:val="ListParagraph"/>
        <w:numPr>
          <w:ilvl w:val="0"/>
          <w:numId w:val="2"/>
        </w:numPr>
        <w:spacing w:after="80"/>
      </w:pPr>
      <w:r>
        <w:rPr>
          <w:b/>
          <w:bCs/>
        </w:rPr>
        <w:t xml:space="preserve">Self-host friendly footprint: </w:t>
      </w:r>
      <w:r>
        <w:t xml:space="preserve">Node/React/Python + Postgres control plane, clear split-deployment guide (Vercel + Railway/Fly/Render). Lower operational surface than PMM, and none of the SaaS lock-in of Datadog or pganalyze.</w:t>
      </w:r>
    </w:p>
    <w:p>
      <w:pPr>
        <w:pStyle w:val="ListParagraph"/>
        <w:numPr>
          <w:ilvl w:val="0"/>
          <w:numId w:val="2"/>
        </w:numPr>
        <w:spacing w:after="80"/>
      </w:pPr>
      <w:r>
        <w:rPr>
          <w:b/>
          <w:bCs/>
        </w:rPr>
        <w:t xml:space="preserve">Security-forward posture: </w:t>
      </w:r>
      <w:r>
        <w:t xml:space="preserve">AES-256-GCM for stored secrets, JWT with audience/issuer claims, custom Semgrep + Gitleaks rules, strict TLS policy by default — more thoughtful than most open-source admin tools.</w:t>
      </w:r>
    </w:p>
    <w:p>
      <w:pPr>
        <w:pStyle w:val="ListParagraph"/>
        <w:numPr>
          <w:ilvl w:val="0"/>
          <w:numId w:val="2"/>
        </w:numPr>
        <w:spacing w:after="80"/>
      </w:pPr>
      <w:r>
        <w:rPr>
          <w:b/>
          <w:bCs/>
        </w:rPr>
        <w:t xml:space="preserve">Modern stack with a clear TypeScript migration path: </w:t>
      </w:r>
      <w:r>
        <w:t xml:space="preserve">Documented migration to TypeScript, Drizzle ORM, Zod validation, Turborepo — signals product durability to technical buyers.</w:t>
      </w:r>
    </w:p>
    <w:p>
      <w:r>
        <w:br w:type="page"/>
      </w:r>
    </w:p>
    <w:p>
      <w:pPr>
        <w:pStyle w:val="Heading1"/>
        <w:spacing w:after="180" w:before="320"/>
      </w:pPr>
      <w:r>
        <w:t xml:space="preserve">7. Strategic Recommendations</w:t>
      </w:r>
    </w:p>
    <w:p>
      <w:pPr>
        <w:spacing w:after="120"/>
      </w:pPr>
      <w:r>
        <w:t xml:space="preserve">Prioritized by impact-to-effort ratio. Timelines assume current team velocity and the existing TypeScript migration plan.</w:t>
      </w:r>
    </w:p>
    <w:p>
      <w:pPr>
        <w:pStyle w:val="Heading3"/>
        <w:spacing w:after="100" w:before="180"/>
      </w:pPr>
      <w:r>
        <w:t xml:space="preserve">7.1 Must-do within 90 days</w:t>
      </w:r>
    </w:p>
    <w:p>
      <w:pPr>
        <w:pStyle w:val="ListParagraph"/>
        <w:numPr>
          <w:ilvl w:val="0"/>
          <w:numId w:val="2"/>
        </w:numPr>
        <w:spacing w:after="80"/>
      </w:pPr>
      <w:r>
        <w:t xml:space="preserve">Ship SAML SSO (Okta/Entra/Google Workspace) and workspace-scoped RBAC. This is the single largest deal-blocker.</w:t>
      </w:r>
    </w:p>
    <w:p>
      <w:pPr>
        <w:pStyle w:val="ListParagraph"/>
        <w:numPr>
          <w:ilvl w:val="0"/>
          <w:numId w:val="2"/>
        </w:numPr>
        <w:spacing w:after="80"/>
      </w:pPr>
      <w:r>
        <w:t xml:space="preserve">Publish a SOC 2 Type I roadmap with target date; kick off Vanta/Drata engagement. The VIGIL_SOC2_Controls_Checklist.md already captures the control set — convert that into a public trust center page.</w:t>
      </w:r>
    </w:p>
    <w:p>
      <w:pPr>
        <w:pStyle w:val="ListParagraph"/>
        <w:numPr>
          <w:ilvl w:val="0"/>
          <w:numId w:val="2"/>
        </w:numPr>
        <w:spacing w:after="80"/>
      </w:pPr>
      <w:r>
        <w:t xml:space="preserve">Add an EXPLAIN-plan capture and visualizer for PostgreSQL, with automatic plan diffing across runs. This closes the single biggest functional gap vs. pganalyze.</w:t>
      </w:r>
    </w:p>
    <w:p>
      <w:pPr>
        <w:pStyle w:val="ListParagraph"/>
        <w:numPr>
          <w:ilvl w:val="0"/>
          <w:numId w:val="2"/>
        </w:numPr>
        <w:spacing w:after="80"/>
      </w:pPr>
      <w:r>
        <w:t xml:space="preserve">Build a simple but user-facing alert DSL (threshold + duration + change-rate + composite AND/OR) and integrate with PagerDuty and Slack.</w:t>
      </w:r>
    </w:p>
    <w:p>
      <w:pPr>
        <w:pStyle w:val="ListParagraph"/>
        <w:numPr>
          <w:ilvl w:val="0"/>
          <w:numId w:val="2"/>
        </w:numPr>
        <w:spacing w:after="80"/>
      </w:pPr>
      <w:r>
        <w:t xml:space="preserve">Document scalability numbers: points-per-second ingest, max concurrent WebSocket clients, 99th-percentile dashboard latency, retention tiers.</w:t>
      </w:r>
    </w:p>
    <w:p>
      <w:pPr>
        <w:pStyle w:val="Heading3"/>
        <w:spacing w:after="100" w:before="180"/>
      </w:pPr>
      <w:r>
        <w:t xml:space="preserve">7.2 12-month priorities</w:t>
      </w:r>
    </w:p>
    <w:p>
      <w:pPr>
        <w:pStyle w:val="ListParagraph"/>
        <w:numPr>
          <w:ilvl w:val="0"/>
          <w:numId w:val="2"/>
        </w:numPr>
        <w:spacing w:after="80"/>
      </w:pPr>
      <w:r>
        <w:t xml:space="preserve">Anomaly detection on core metrics (CPU, connections, replication lag, query latency) using simple statistical baselines before moving to ML.</w:t>
      </w:r>
    </w:p>
    <w:p>
      <w:pPr>
        <w:pStyle w:val="ListParagraph"/>
        <w:numPr>
          <w:ilvl w:val="0"/>
          <w:numId w:val="2"/>
        </w:numPr>
        <w:spacing w:after="80"/>
      </w:pPr>
      <w:r>
        <w:t xml:space="preserve">MySQL and MongoDB parity for EXPLAIN/plan collection and slow-query inventory.</w:t>
      </w:r>
    </w:p>
    <w:p>
      <w:pPr>
        <w:pStyle w:val="ListParagraph"/>
        <w:numPr>
          <w:ilvl w:val="0"/>
          <w:numId w:val="2"/>
        </w:numPr>
        <w:spacing w:after="80"/>
      </w:pPr>
      <w:r>
        <w:t xml:space="preserve">Public dashboard marketplace and plugin API so customers can share community dashboards; this creates pull-marketing and reduces onboarding friction.</w:t>
      </w:r>
    </w:p>
    <w:p>
      <w:pPr>
        <w:pStyle w:val="ListParagraph"/>
        <w:numPr>
          <w:ilvl w:val="0"/>
          <w:numId w:val="2"/>
        </w:numPr>
        <w:spacing w:after="80"/>
      </w:pPr>
      <w:r>
        <w:t xml:space="preserve">SCIM provisioning, IP allow-listing, and an immutable audit log export (S3/SIEM) to unlock mid-market enterprise.</w:t>
      </w:r>
    </w:p>
    <w:p>
      <w:pPr>
        <w:pStyle w:val="ListParagraph"/>
        <w:numPr>
          <w:ilvl w:val="0"/>
          <w:numId w:val="2"/>
        </w:numPr>
        <w:spacing w:after="80"/>
      </w:pPr>
      <w:r>
        <w:t xml:space="preserve">Published pricing (free / team / business / enterprise) with a documented value narrative vs. Datadog DBM (~$70/host/month) and pganalyze (~$149/server/month).</w:t>
      </w:r>
    </w:p>
    <w:p>
      <w:pPr>
        <w:pStyle w:val="Heading3"/>
        <w:spacing w:after="100" w:before="180"/>
      </w:pPr>
      <w:r>
        <w:t xml:space="preserve">7.3 Moonshots</w:t>
      </w:r>
    </w:p>
    <w:p>
      <w:pPr>
        <w:pStyle w:val="ListParagraph"/>
        <w:numPr>
          <w:ilvl w:val="0"/>
          <w:numId w:val="2"/>
        </w:numPr>
        <w:spacing w:after="80"/>
      </w:pPr>
      <w:r>
        <w:t xml:space="preserve">Embedded AI copilot for SQL authoring, plan explanation, and root-cause analysis over historical incidents — a natural extension of the SDK + logs + metrics data model.</w:t>
      </w:r>
    </w:p>
    <w:p>
      <w:pPr>
        <w:pStyle w:val="ListParagraph"/>
        <w:numPr>
          <w:ilvl w:val="0"/>
          <w:numId w:val="2"/>
        </w:numPr>
        <w:spacing w:after="80"/>
      </w:pPr>
      <w:r>
        <w:t xml:space="preserve">A developer-experience play: inline, PR-aware database change review that integrates with GitHub Actions and Drizzle migrations.</w:t>
      </w:r>
    </w:p>
    <w:p>
      <w:pPr>
        <w:pStyle w:val="ListParagraph"/>
        <w:numPr>
          <w:ilvl w:val="0"/>
          <w:numId w:val="2"/>
        </w:numPr>
        <w:spacing w:after="80"/>
      </w:pPr>
      <w:r>
        <w:t xml:space="preserve">A managed VIGIL Cloud tier so customers get the self-host flexibility story AND a one-click option, mirroring Grafana Labs' playbook.</w:t>
      </w:r>
    </w:p>
    <w:p>
      <w:r>
        <w:br w:type="page"/>
      </w:r>
    </w:p>
    <w:p>
      <w:pPr>
        <w:pStyle w:val="Heading1"/>
        <w:spacing w:after="180" w:before="320"/>
      </w:pPr>
      <w:r>
        <w:t xml:space="preserve">8. Conclusion</w:t>
      </w:r>
    </w:p>
    <w:p>
      <w:pPr>
        <w:spacing w:after="120"/>
      </w:pPr>
      <w:r>
        <w:t xml:space="preserve">VIGIL's core thesis — a unified, multi-tenant operator console that blends database monitoring, administration, and application-side observability through an embedded SDK — is differentiated and credible. No single incumbent delivers that combination today.</w:t>
      </w:r>
    </w:p>
    <w:p>
      <w:pPr>
        <w:spacing w:after="120"/>
      </w:pPr>
      <w:r>
        <w:t xml:space="preserve">The near-term execution risk is that VIGIL remains a feature island: strong on unification but behind on the specific depth (query-plan intelligence, anomaly detection, enterprise governance) that drives procurement decisions. Closing the governance and plan-analysis gaps within the next two quarters is the single highest-leverage investment the team can make. Those two moves transform VIGIL from an attractive side-car into a defensible primary tool of choice for SaaS platform teams.</w:t>
      </w:r>
    </w:p>
    <w:p>
      <w:pPr>
        <w:spacing w:after="120"/>
      </w:pPr>
      <w:r>
        <w:t xml:space="preserve">This document should be treated as a living artifact: refresh feature matrices each quarter as competitors ship, and re-score gaps against customer win/loss feedback.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F7F7F"/>
        <w:sz w:val="18"/>
        <w:szCs w:val="18"/>
      </w:rPr>
      <w:t xml:space="preserve">Confidential — Internal Use</w:t>
    </w:r>
    <w:r>
      <w:rPr>
        <w:color w:val="7F7F7F"/>
        <w:sz w:val="18"/>
        <w:szCs w:val="18"/>
      </w:rPr>
      <w:t xml:space="preserve">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7F7F7F"/>
        <w:sz w:val="18"/>
        <w:szCs w:val="18"/>
      </w:rPr>
      <w:t xml:space="preserve">VIGIL — Competitive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2C528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 Competitive Gap Analysis</dc:title>
  <dc:creator>VIGIL Product</dc:creator>
  <dc:description>Benchmarking VIGIL against database monitoring and administration tools</dc:description>
  <cp:lastModifiedBy>Un-named</cp:lastModifiedBy>
  <cp:revision>1</cp:revision>
  <dcterms:created xsi:type="dcterms:W3CDTF">2026-04-21T09:40:53.097Z</dcterms:created>
  <dcterms:modified xsi:type="dcterms:W3CDTF">2026-04-21T09:40:53.097Z</dcterms:modified>
</cp:coreProperties>
</file>

<file path=docProps/custom.xml><?xml version="1.0" encoding="utf-8"?>
<Properties xmlns="http://schemas.openxmlformats.org/officeDocument/2006/custom-properties" xmlns:vt="http://schemas.openxmlformats.org/officeDocument/2006/docPropsVTypes"/>
</file>