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36"/>
          <w:szCs w:val="36"/>
        </w:rPr>
        <w:t xml:space="preserve">TMS Pro — System Workflow Document</w:t>
      </w:r>
    </w:p>
    <w:p>
      <w:pPr>
        <w:spacing w:after="120"/>
        <w:jc w:val="center"/>
      </w:pPr>
      <w:r>
        <w:rPr>
          <w:i/>
          <w:iCs/>
          <w:color w:val="64748B"/>
        </w:rPr>
        <w:t xml:space="preserve">Transport Management System | Version 1.1 | 23 June 2026</w:t>
      </w:r>
    </w:p>
    <w:p>
      <w:pPr>
        <w:spacing w:after="300"/>
        <w:jc w:val="center"/>
      </w:pPr>
      <w:r>
        <w:rPr>
          <w:color w:val="2563EB"/>
          <w:sz w:val="20"/>
          <w:szCs w:val="20"/>
        </w:rPr>
        <w:t xml:space="preserve">Includes flowchart diagrams &amp; module map</w:t>
      </w:r>
    </w:p>
    <w:p>
      <w:pPr>
        <w:pStyle w:val="Heading1"/>
        <w:spacing w:after="120" w:before="240"/>
      </w:pPr>
      <w:r>
        <w:t xml:space="preserve">1. Introduction</w:t>
      </w:r>
    </w:p>
    <w:p>
      <w:pPr>
        <w:spacing w:after="120"/>
      </w:pPr>
      <w:r>
        <w:t xml:space="preserve">TMS Pro is an enterprise Transport Management System for logistics and transport companies. It covers booking, LR generation, fleet management, expenses, accounting, and reporting — all connected through a React frontend, .NET 8 API, and PostgreSQL database.</w:t>
      </w:r>
    </w:p>
    <w:p>
      <w:pPr>
        <w:spacing w:after="120"/>
      </w:pPr>
      <w:r>
        <w:t xml:space="preserve">This document includes visual flowcharts for architecture, authentication, business processes, accounting, installation, data flow, and UI module navigation.</w:t>
      </w:r>
    </w:p>
    <w:p>
      <w:pPr>
        <w:pStyle w:val="Heading1"/>
        <w:spacing w:after="120" w:before="240"/>
      </w:pPr>
      <w:r>
        <w:t xml:space="preserve">2. System Architecture</w:t>
      </w:r>
    </w:p>
    <w:p>
      <w:pPr>
        <w:spacing w:after="120"/>
      </w:pPr>
      <w:r>
        <w:t xml:space="preserve">Three-tier architecture with JWT-secured REST API between the React UI and PostgreSQL database.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Figure: System Architecture — React → .NET API → PostgreSQL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Presentation Layer: React 19 + Vite + Tailwind CSS (Port 5173)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Layer: ASP.NET Core 8 REST API (Port 5000)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Layer: PostgreSQL tms_pro database (Port 5432)</w:t>
      </w:r>
    </w:p>
    <w:p>
      <w:pPr>
        <w:pStyle w:val="Heading1"/>
        <w:spacing w:after="120" w:before="240"/>
      </w:pPr>
      <w:r>
        <w:t xml:space="preserve">3. Authentication Workflow</w:t>
      </w:r>
    </w:p>
    <w:p>
      <w:pPr>
        <w:spacing w:after="120"/>
      </w:pPr>
      <w:r>
        <w:t xml:space="preserve">All protected routes require a valid JWT bearer token. Session expires on 401 response.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Figure: Authentication &amp; JWT Token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opens http://localhost:5173 → redirected to /login if no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/api/auth/login with username &amp;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validates BCrypt hash → returns JWT stored in localStorage.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API calls include Authorization: Bearer {token}.</w:t>
      </w:r>
    </w:p>
    <w:p>
      <w:pPr>
        <w:pStyle w:val="Heading1"/>
        <w:spacing w:after="120" w:before="240"/>
      </w:pPr>
      <w:r>
        <w:t xml:space="preserve">4. Application UI Module Map</w:t>
      </w:r>
    </w:p>
    <w:p>
      <w:pPr>
        <w:spacing w:after="120"/>
      </w:pPr>
      <w:r>
        <w:t xml:space="preserve">Navigation structure showing how modules connect from the Dashboard sidebar.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Figure: TMS Pro UI Module Navigation Map</w:t>
      </w:r>
    </w:p>
    <w:p>
      <w:pPr>
        <w:pStyle w:val="Heading1"/>
        <w:spacing w:after="120" w:before="240"/>
      </w:pPr>
      <w:r>
        <w:t xml:space="preserve">5. Master Data Setup</w:t>
      </w:r>
    </w:p>
    <w:p>
      <w:pPr>
        <w:spacing w:after="120"/>
      </w:pPr>
      <w:r>
        <w:t xml:space="preserve">Configure these records before daily operations: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 → Company profile, GSTIN, financial year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Customers, Vendors, Vehicles, Drivers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Accounting → Ledger Master (Cash, Bank, Income, Expense accounts)</w:t>
      </w:r>
    </w:p>
    <w:p>
      <w:pPr>
        <w:pStyle w:val="Heading1"/>
        <w:spacing w:after="120" w:before="240"/>
      </w:pPr>
      <w:r>
        <w:t xml:space="preserve">6. Core Business Workflow</w:t>
      </w:r>
    </w:p>
    <w:p>
      <w:pPr>
        <w:spacing w:after="120"/>
      </w:pPr>
      <w:r>
        <w:t xml:space="preserve">End-to-end transport operations from booking creation through payment collection.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Figure: Business Process — Setup → Operations → Finance</w:t>
      </w:r>
    </w:p>
    <w:p>
      <w:pPr>
        <w:pStyle w:val="Heading2"/>
        <w:spacing w:after="80" w:before="200"/>
      </w:pPr>
      <w:r>
        <w:t xml:space="preserve">6.1 Create Booking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Bookings → Add New: customer, route, vehicle, driver, freight, payment status.</w:t>
      </w:r>
    </w:p>
    <w:p>
      <w:pPr>
        <w:pStyle w:val="Heading2"/>
        <w:spacing w:after="80" w:before="200"/>
      </w:pPr>
      <w:r>
        <w:t xml:space="preserve">6.2 Generate LR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LR → Generate: consignor/consignee, charges, GST, advance → auto LR number.</w:t>
      </w:r>
    </w:p>
    <w:p>
      <w:pPr>
        <w:pStyle w:val="Heading2"/>
        <w:spacing w:after="80" w:before="200"/>
      </w:pPr>
      <w:r>
        <w:t xml:space="preserve">6.3 Trip &amp; Expenses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booking status through trip lifecycle; record fuel, toll, maintenance expenses.</w:t>
      </w:r>
    </w:p>
    <w:p>
      <w:pPr>
        <w:pStyle w:val="Heading2"/>
        <w:spacing w:after="80" w:before="200"/>
      </w:pPr>
      <w:r>
        <w:t xml:space="preserve">6.4 Payment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Accounting → Receipt Voucher when customer pays freight balance.</w:t>
      </w:r>
    </w:p>
    <w:p>
      <w:pPr>
        <w:pStyle w:val="Heading1"/>
        <w:spacing w:after="120" w:before="240"/>
      </w:pPr>
      <w:r>
        <w:t xml:space="preserve">7. Accounting Workflow</w:t>
      </w:r>
    </w:p>
    <w:p>
      <w:pPr>
        <w:spacing w:after="120"/>
      </w:pPr>
      <w:r>
        <w:t xml:space="preserve">Double-entry accounting with vouchers flowing into registers and financial statements.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Figure: Accounting Flow — Vouchers → Registers → Financial Statements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/ Receipt / Journal / Contra vouchers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Book, Bank Book, Day Book, all registers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Trial Balance → P&amp;L → Balance Sheet → GST → Outstanding</w:t>
      </w:r>
    </w:p>
    <w:p>
      <w:pPr>
        <w:pStyle w:val="Heading1"/>
        <w:spacing w:after="120" w:before="240"/>
      </w:pPr>
      <w:r>
        <w:t xml:space="preserve">8. End-to-End Data Flow</w:t>
      </w:r>
    </w:p>
    <w:p>
      <w:pPr>
        <w:spacing w:after="120"/>
      </w:pPr>
      <w:r>
        <w:t xml:space="preserve">How operational data feeds reports and accounting modules.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Figure: Database Tables → Reports &amp; Accounting Outputs</w:t>
      </w:r>
    </w:p>
    <w:p>
      <w:pPr>
        <w:pStyle w:val="Heading1"/>
        <w:spacing w:after="120" w:before="240"/>
      </w:pPr>
      <w:r>
        <w:t xml:space="preserve">9. Dashboard &amp; Reporting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Dashboard: 11 KPI cards, 14 analytics charts, alerts panel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 Hub: trips, vehicles, drivers, income, expenses, cash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Accounting Hub: 21 screens for books, registers, and statements</w:t>
      </w:r>
    </w:p>
    <w:p>
      <w:pPr>
        <w:pStyle w:val="Heading1"/>
        <w:spacing w:after="120" w:before="240"/>
      </w:pPr>
      <w:r>
        <w:t xml:space="preserve">10. Installation Workflow</w:t>
      </w:r>
    </w:p>
    <w:p>
      <w:pPr>
        <w:spacing w:after="120"/>
      </w:pPr>
      <w:r>
        <w:t xml:space="preserve">Step-by-step setup for local development environment.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Figure: Installation &amp; Deployment Steps</w:t>
      </w:r>
    </w:p>
    <w:p>
      <w:pPr>
        <w:pStyle w:val="Heading2"/>
        <w:spacing w:after="80" w:before="200"/>
      </w:pPr>
      <w:r>
        <w:t xml:space="preserve">10.1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DATABASE tms_pro;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schema.sql → seed.sql → seed_accounting.sql</w:t>
      </w:r>
    </w:p>
    <w:p>
      <w:pPr>
        <w:pStyle w:val="Heading2"/>
        <w:spacing w:after="80" w:before="200"/>
      </w:pPr>
      <w:r>
        <w:t xml:space="preserve">10.2 Application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appsettings.json connection string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dotnet run (backend :5000) + npm run dev (frontend :5173)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Login: admin / admin123</w:t>
      </w:r>
    </w:p>
    <w:p>
      <w:pPr>
        <w:pStyle w:val="Heading1"/>
        <w:spacing w:after="120" w:before="240"/>
      </w:pPr>
      <w:r>
        <w:t xml:space="preserve">11. User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Access</w:t>
            </w:r>
          </w:p>
        </w:tc>
        <w:tc>
          <w:p>
            <w:r>
              <w:rPr>
                <w:b/>
                <w:bCs/>
              </w:rPr>
              <w:t xml:space="preserve">Modules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Super Admin</w:t>
            </w:r>
          </w:p>
        </w:tc>
        <w:tc>
          <w:p>
            <w:r>
              <w:rPr>
                <w:b w:val="false"/>
                <w:bCs w:val="false"/>
              </w:rPr>
              <w:t xml:space="preserve">Full access</w:t>
            </w:r>
          </w:p>
        </w:tc>
        <w:tc>
          <w:p>
            <w:r>
              <w:rPr>
                <w:b w:val="false"/>
                <w:bCs w:val="false"/>
              </w:rPr>
              <w:t xml:space="preserve">All + Settings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Accountant</w:t>
            </w:r>
          </w:p>
        </w:tc>
        <w:tc>
          <w:p>
            <w:r>
              <w:rPr>
                <w:b w:val="false"/>
                <w:bCs w:val="false"/>
              </w:rPr>
              <w:t xml:space="preserve">Accounting</w:t>
            </w:r>
          </w:p>
        </w:tc>
        <w:tc>
          <w:p>
            <w:r>
              <w:rPr>
                <w:b w:val="false"/>
                <w:bCs w:val="false"/>
              </w:rPr>
              <w:t xml:space="preserve">Accounting, Reports, Vouchers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Operations Manager</w:t>
            </w:r>
          </w:p>
        </w:tc>
        <w:tc>
          <w:p>
            <w:r>
              <w:rPr>
                <w:b w:val="false"/>
                <w:bCs w:val="false"/>
              </w:rPr>
              <w:t xml:space="preserve">Operations</w:t>
            </w:r>
          </w:p>
        </w:tc>
        <w:tc>
          <w:p>
            <w:r>
              <w:rPr>
                <w:b w:val="false"/>
                <w:bCs w:val="false"/>
              </w:rPr>
              <w:t xml:space="preserve">Bookings, LR, Fleet, Expenses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Driver Coordinator</w:t>
            </w:r>
          </w:p>
        </w:tc>
        <w:tc>
          <w:p>
            <w:r>
              <w:rPr>
                <w:b w:val="false"/>
                <w:bCs w:val="false"/>
              </w:rPr>
              <w:t xml:space="preserve">Fleet</w:t>
            </w:r>
          </w:p>
        </w:tc>
        <w:tc>
          <w:p>
            <w:r>
              <w:rPr>
                <w:b w:val="false"/>
                <w:bCs w:val="false"/>
              </w:rPr>
              <w:t xml:space="preserve">Drivers, Vehicles, LR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Viewer</w:t>
            </w:r>
          </w:p>
        </w:tc>
        <w:tc>
          <w:p>
            <w:r>
              <w:rPr>
                <w:b w:val="false"/>
                <w:bCs w:val="false"/>
              </w:rPr>
              <w:t xml:space="preserve">Read-only</w:t>
            </w:r>
          </w:p>
        </w:tc>
        <w:tc>
          <w:p>
            <w:r>
              <w:rPr>
                <w:b w:val="false"/>
                <w:bCs w:val="false"/>
              </w:rPr>
              <w:t xml:space="preserve">Dashboard, Reports</w:t>
            </w:r>
          </w:p>
        </w:tc>
      </w:tr>
    </w:tbl>
    <w:p>
      <w:pPr>
        <w:pStyle w:val="Heading1"/>
        <w:spacing w:after="120" w:before="240"/>
      </w:pPr>
      <w:r>
        <w:t xml:space="preserve">12. API Module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Endpoints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p>
            <w:r>
              <w:rPr>
                <w:b w:val="false"/>
                <w:bCs w:val="false"/>
              </w:rPr>
              <w:t xml:space="preserve">POST /api/auth/login, GET /api/auth/me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Operations</w:t>
            </w:r>
          </w:p>
        </w:tc>
        <w:tc>
          <w:p>
            <w:r>
              <w:rPr>
                <w:b w:val="false"/>
                <w:bCs w:val="false"/>
              </w:rPr>
              <w:t xml:space="preserve">/api/bookings, /api/lr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Fleet &amp; Masters</w:t>
            </w:r>
          </w:p>
        </w:tc>
        <w:tc>
          <w:p>
            <w:r>
              <w:rPr>
                <w:b w:val="false"/>
                <w:bCs w:val="false"/>
              </w:rPr>
              <w:t xml:space="preserve">/api/vehicles, /api/drivers, /api/customers, /api/vendors, /api/expenses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p>
            <w:r>
              <w:rPr>
                <w:b w:val="false"/>
                <w:bCs w:val="false"/>
              </w:rPr>
              <w:t xml:space="preserve">/api/dashboard/stats, charts, alerts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Reports</w:t>
            </w:r>
          </w:p>
        </w:tc>
        <w:tc>
          <w:p>
            <w:r>
              <w:rPr>
                <w:b w:val="false"/>
                <w:bCs w:val="false"/>
              </w:rPr>
              <w:t xml:space="preserve">/api/reports/*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Accounting</w:t>
            </w:r>
          </w:p>
        </w:tc>
        <w:tc>
          <w:p>
            <w:r>
              <w:rPr>
                <w:b w:val="false"/>
                <w:bCs w:val="false"/>
              </w:rPr>
              <w:t xml:space="preserve">/api/accounting/*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Settings</w:t>
            </w:r>
          </w:p>
        </w:tc>
        <w:tc>
          <w:p>
            <w:r>
              <w:rPr>
                <w:b w:val="false"/>
                <w:bCs w:val="false"/>
              </w:rPr>
              <w:t xml:space="preserve">GET/PUT /api/settings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94A3B8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2c1684634fb85c66beb1dc435dd2b19b21e523.png"/><Relationship Id="rId8" Type="http://schemas.openxmlformats.org/officeDocument/2006/relationships/image" Target="media/15b0c5853e2158bdc281a7b4147898e4a1328f4f.png"/><Relationship Id="rId9" Type="http://schemas.openxmlformats.org/officeDocument/2006/relationships/image" Target="media/30f19c239a634fa9a22299dfaf9310a356cbe0c2.png"/><Relationship Id="rId10" Type="http://schemas.openxmlformats.org/officeDocument/2006/relationships/image" Target="media/dd81b72b7cefc6115dfb93493893ff67e3f351f2.png"/><Relationship Id="rId11" Type="http://schemas.openxmlformats.org/officeDocument/2006/relationships/image" Target="media/6be26e639b1184b702fda7c9827c2af8effef70c.png"/><Relationship Id="rId12" Type="http://schemas.openxmlformats.org/officeDocument/2006/relationships/image" Target="media/a51397f8a5f83ee0e65da34b4f6d0257f4345104.png"/><Relationship Id="rId13" Type="http://schemas.openxmlformats.org/officeDocument/2006/relationships/image" Target="media/172ca442c317f9ae7a29f3ea12384692610c052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2026-06-23T12:59:13.616Z</dcterms:created>
  <dcterms:modified xsi:type="dcterms:W3CDTF">2026-06-23T12:59:13.616Z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