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80"/>
        <w:jc w:val="center"/>
      </w:pPr>
      <w:r>
        <w:rPr>
          <w:rFonts w:ascii="Arial" w:cs="Arial" w:eastAsia="Arial" w:hAnsi="Arial"/>
          <w:b/>
          <w:bCs/>
          <w:color w:val="1F3864"/>
          <w:sz w:val="52"/>
          <w:szCs w:val="52"/>
        </w:rPr>
        <w:t xml:space="preserve">CUSTOMER SALES ANALYSIS</w:t>
      </w:r>
    </w:p>
    <w:p>
      <w:pPr>
        <w:spacing w:after="80"/>
        <w:jc w:val="center"/>
      </w:pPr>
      <w:r>
        <w:rPr>
          <w:rFonts w:ascii="Arial" w:cs="Arial" w:eastAsia="Arial" w:hAnsi="Arial"/>
          <w:i/>
          <w:iCs/>
          <w:color w:val="2E75B6"/>
          <w:sz w:val="30"/>
          <w:szCs w:val="30"/>
        </w:rPr>
        <w:t xml:space="preserve">Analytical Report</w:t>
      </w:r>
    </w:p>
    <w:p>
      <w:pPr>
        <w:spacing w:after="400"/>
        <w:jc w:val="center"/>
      </w:pPr>
      <w:r>
        <w:rPr>
          <w:rFonts w:ascii="Arial" w:cs="Arial" w:eastAsia="Arial" w:hAnsi="Arial"/>
          <w:color w:val="888888"/>
          <w:sz w:val="20"/>
          <w:szCs w:val="20"/>
        </w:rPr>
        <w:t xml:space="preserve">Based on customer_shopping_data.csv  |  April 2026</w:t>
      </w:r>
    </w:p>
    <w:p>
      <w:pPr>
        <w:pBdr>
          <w:bottom w:val="single" w:color="2E75B6" w:sz="4" w:space="1"/>
        </w:pBdr>
      </w:pPr>
      <w:r>
        <w:t xml:space="preserve"/>
      </w:r>
    </w:p>
    <w:p>
      <w:r>
        <w:t xml:space="preserv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b w:val="false"/>
          <w:bCs w:val="false"/>
          <w:color w:val="000000"/>
          <w:sz w:val="20"/>
          <w:szCs w:val="20"/>
        </w:rPr>
        <w:t xml:space="preserve">This report summarises an exploratory data analysis (EDA) conducted on a retail customer shopping dataset containing 99,457 transaction records across 10 columns. The analysis covers descriptive statistics, customer segmentation by age group, revenue breakdowns by gender and shopping mall, category-level purchasing patterns, and payment method preferences. Key findings show that female customers account for nearly 60% of total revenue, Clothing is the dominant product category, and Cash is the most frequently used payment method.</w:t>
      </w:r>
    </w:p>
    <w:p>
      <w:r>
        <w:t xml:space="preserve"/>
      </w:r>
    </w:p>
    <w:p>
      <w:pPr>
        <w:pStyle w:val="Heading1"/>
      </w:pPr>
      <w:r>
        <w:rPr>
          <w:rFonts w:ascii="Arial" w:cs="Arial" w:eastAsia="Arial" w:hAnsi="Arial"/>
          <w:b/>
          <w:bCs/>
          <w:color w:val="1F3864"/>
          <w:sz w:val="32"/>
          <w:szCs w:val="32"/>
        </w:rPr>
        <w:t xml:space="preserve">2. Dataset Overview</w:t>
      </w:r>
    </w:p>
    <w:p>
      <w:pPr>
        <w:spacing w:after="120"/>
      </w:pPr>
      <w:r>
        <w:rPr>
          <w:rFonts w:ascii="Arial" w:cs="Arial" w:eastAsia="Arial" w:hAnsi="Arial"/>
          <w:b w:val="false"/>
          <w:bCs w:val="false"/>
          <w:color w:val="000000"/>
          <w:sz w:val="20"/>
          <w:szCs w:val="20"/>
        </w:rPr>
        <w:t xml:space="preserve">Source file: customer_shopping_data.csv</w:t>
      </w:r>
    </w:p>
    <w:p>
      <w:pPr>
        <w:spacing w:after="120"/>
      </w:pPr>
      <w:r>
        <w:rPr>
          <w:rFonts w:ascii="Arial" w:cs="Arial" w:eastAsia="Arial" w:hAnsi="Arial"/>
          <w:b w:val="false"/>
          <w:bCs w:val="false"/>
          <w:color w:val="000000"/>
          <w:sz w:val="20"/>
          <w:szCs w:val="20"/>
        </w:rPr>
        <w:t xml:space="preserve">Total records: 99,457 rows  |  10 columns  |  No missing values</w:t>
      </w:r>
    </w:p>
    <w:p>
      <w:r>
        <w:t xml:space="preserve"/>
      </w:r>
    </w:p>
    <w:p>
      <w:pPr>
        <w:spacing w:after="120"/>
      </w:pPr>
      <w:r>
        <w:rPr>
          <w:rFonts w:ascii="Arial" w:cs="Arial" w:eastAsia="Arial" w:hAnsi="Arial"/>
          <w:b/>
          <w:bCs/>
          <w:color w:val="000000"/>
          <w:sz w:val="20"/>
          <w:szCs w:val="20"/>
        </w:rPr>
        <w:t xml:space="preserve">Columns included in the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Unique invoice identifier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Unique customer identifier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Customer gender (Male / Female)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Customer age in years (18–69)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 category purchased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Number of items purchased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float64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Unit price of product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payment_method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Credit Card, or Debit 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of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shopping_mall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Mall where the transaction occurred</w:t>
            </w:r>
          </w:p>
        </w:tc>
      </w:tr>
    </w:tbl>
    <w:p>
      <w:r>
        <w:t xml:space="preserve"/>
      </w:r>
    </w:p>
    <w:p>
      <w:pPr>
        <w:pStyle w:val="Heading1"/>
      </w:pPr>
      <w:r>
        <w:rPr>
          <w:rFonts w:ascii="Arial" w:cs="Arial" w:eastAsia="Arial" w:hAnsi="Arial"/>
          <w:b/>
          <w:bCs/>
          <w:color w:val="1F3864"/>
          <w:sz w:val="32"/>
          <w:szCs w:val="32"/>
        </w:rPr>
        <w:t xml:space="preserve">3. Descriptive Statistics</w:t>
      </w:r>
    </w:p>
    <w:p>
      <w:pPr>
        <w:spacing w:after="120"/>
      </w:pPr>
      <w:r>
        <w:rPr>
          <w:rFonts w:ascii="Arial" w:cs="Arial" w:eastAsia="Arial" w:hAnsi="Arial"/>
          <w:b w:val="false"/>
          <w:bCs w:val="false"/>
          <w:color w:val="000000"/>
          <w:sz w:val="20"/>
          <w:szCs w:val="20"/>
        </w:rPr>
        <w:t xml:space="preserve">The table below shows summary statistics for the three numerical columns: Age, Quantity, and Price. The wide standard deviation in Price (941) relative to its mean (689) signals a highly right-skewed distribution, with most purchases at lower price points but a tail of high-value transactions.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Quantity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99,457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99,457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99,457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43.43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689.26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Std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941.18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25th Percentile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Median (50th)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203.30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75th Percentile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1,200.32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5,250.00</w:t>
            </w:r>
          </w:p>
        </w:tc>
      </w:tr>
    </w:tbl>
    <w:p>
      <w:r>
        <w:t xml:space="preserve"/>
      </w:r>
    </w:p>
    <w:p>
      <w:pPr>
        <w:spacing w:after="120"/>
      </w:pPr>
      <w:r>
        <w:rPr>
          <w:rFonts w:ascii="Arial" w:cs="Arial" w:eastAsia="Arial" w:hAnsi="Arial"/>
          <w:b/>
          <w:bCs/>
          <w:color w:val="000000"/>
          <w:sz w:val="20"/>
          <w:szCs w:val="20"/>
        </w:rPr>
        <w:t xml:space="preserve">Key observations:</w:t>
      </w:r>
    </w:p>
    <w:p>
      <w:pPr>
        <w:spacing w:after="120"/>
      </w:pPr>
      <w:r>
        <w:rPr>
          <w:rFonts w:ascii="Arial" w:cs="Arial" w:eastAsia="Arial" w:hAnsi="Arial"/>
          <w:b w:val="false"/>
          <w:bCs w:val="false"/>
          <w:color w:val="000000"/>
          <w:sz w:val="20"/>
          <w:szCs w:val="20"/>
        </w:rPr>
        <w:t xml:space="preserve">• Average customer age is ~43 years, ranging from 18 to 69.</w:t>
      </w:r>
    </w:p>
    <w:p>
      <w:pPr>
        <w:spacing w:after="120"/>
      </w:pPr>
      <w:r>
        <w:rPr>
          <w:rFonts w:ascii="Arial" w:cs="Arial" w:eastAsia="Arial" w:hAnsi="Arial"/>
          <w:b w:val="false"/>
          <w:bCs w:val="false"/>
          <w:color w:val="000000"/>
          <w:sz w:val="20"/>
          <w:szCs w:val="20"/>
        </w:rPr>
        <w:t xml:space="preserve">• Quantities per invoice range from 1 to 5, with a mean of 3.</w:t>
      </w:r>
    </w:p>
    <w:p>
      <w:pPr>
        <w:spacing w:after="120"/>
      </w:pPr>
      <w:r>
        <w:rPr>
          <w:rFonts w:ascii="Arial" w:cs="Arial" w:eastAsia="Arial" w:hAnsi="Arial"/>
          <w:b w:val="false"/>
          <w:bCs w:val="false"/>
          <w:color w:val="000000"/>
          <w:sz w:val="20"/>
          <w:szCs w:val="20"/>
        </w:rPr>
        <w:t xml:space="preserve">• Prices vary significantly — the median (203) is much lower than the mean (689), confirming positive skew.</w:t>
      </w:r>
    </w:p>
    <w:p>
      <w:r>
        <w:t xml:space="preserve"/>
      </w:r>
    </w:p>
    <w:p>
      <w:pPr>
        <w:pStyle w:val="Heading1"/>
      </w:pPr>
      <w:r>
        <w:rPr>
          <w:rFonts w:ascii="Arial" w:cs="Arial" w:eastAsia="Arial" w:hAnsi="Arial"/>
          <w:b/>
          <w:bCs/>
          <w:color w:val="1F3864"/>
          <w:sz w:val="32"/>
          <w:szCs w:val="32"/>
        </w:rPr>
        <w:t xml:space="preserve">4. Feature Engineering</w:t>
      </w:r>
    </w:p>
    <w:p>
      <w:pPr>
        <w:pStyle w:val="Heading2"/>
      </w:pPr>
      <w:r>
        <w:rPr>
          <w:rFonts w:ascii="Arial" w:cs="Arial" w:eastAsia="Arial" w:hAnsi="Arial"/>
          <w:b/>
          <w:bCs/>
          <w:color w:val="2E75B6"/>
          <w:sz w:val="26"/>
          <w:szCs w:val="26"/>
        </w:rPr>
        <w:t xml:space="preserve">4.1 Age Segmentation (age_category)</w:t>
      </w:r>
    </w:p>
    <w:p>
      <w:pPr>
        <w:spacing w:after="120"/>
      </w:pPr>
      <w:r>
        <w:rPr>
          <w:rFonts w:ascii="Arial" w:cs="Arial" w:eastAsia="Arial" w:hAnsi="Arial"/>
          <w:b w:val="false"/>
          <w:bCs w:val="false"/>
          <w:color w:val="000000"/>
          <w:sz w:val="20"/>
          <w:szCs w:val="20"/>
        </w:rPr>
        <w:t xml:space="preserve">Customers were segmented into four equal-size quartile groups using pd.qcut():</w:t>
      </w:r>
    </w:p>
    <w:p>
      <w:pPr>
        <w:spacing w:after="120"/>
      </w:pPr>
      <w:r>
        <w:rPr>
          <w:rFonts w:ascii="Arial" w:cs="Arial" w:eastAsia="Arial" w:hAnsi="Arial"/>
          <w:b w:val="false"/>
          <w:bCs w:val="false"/>
          <w:color w:val="000000"/>
          <w:sz w:val="20"/>
          <w:szCs w:val="20"/>
        </w:rPr>
        <w:t xml:space="preserve">• Young Adult (18–30)</w:t>
      </w:r>
    </w:p>
    <w:p>
      <w:pPr>
        <w:spacing w:after="120"/>
      </w:pPr>
      <w:r>
        <w:rPr>
          <w:rFonts w:ascii="Arial" w:cs="Arial" w:eastAsia="Arial" w:hAnsi="Arial"/>
          <w:b w:val="false"/>
          <w:bCs w:val="false"/>
          <w:color w:val="000000"/>
          <w:sz w:val="20"/>
          <w:szCs w:val="20"/>
        </w:rPr>
        <w:t xml:space="preserve">• Adult (31–43)</w:t>
      </w:r>
    </w:p>
    <w:p>
      <w:pPr>
        <w:spacing w:after="120"/>
      </w:pPr>
      <w:r>
        <w:rPr>
          <w:rFonts w:ascii="Arial" w:cs="Arial" w:eastAsia="Arial" w:hAnsi="Arial"/>
          <w:b w:val="false"/>
          <w:bCs w:val="false"/>
          <w:color w:val="000000"/>
          <w:sz w:val="20"/>
          <w:szCs w:val="20"/>
        </w:rPr>
        <w:t xml:space="preserve">• Middle-aged (44–56)</w:t>
      </w:r>
    </w:p>
    <w:p>
      <w:pPr>
        <w:spacing w:after="120"/>
      </w:pPr>
      <w:r>
        <w:rPr>
          <w:rFonts w:ascii="Arial" w:cs="Arial" w:eastAsia="Arial" w:hAnsi="Arial"/>
          <w:b w:val="false"/>
          <w:bCs w:val="false"/>
          <w:color w:val="000000"/>
          <w:sz w:val="20"/>
          <w:szCs w:val="20"/>
        </w:rPr>
        <w:t xml:space="preserve">• Senior (57–69)</w:t>
      </w:r>
    </w:p>
    <w:p>
      <w:r>
        <w:t xml:space="preserve"/>
      </w:r>
    </w:p>
    <w:p>
      <w:pPr>
        <w:pStyle w:val="Heading2"/>
      </w:pPr>
      <w:r>
        <w:rPr>
          <w:rFonts w:ascii="Arial" w:cs="Arial" w:eastAsia="Arial" w:hAnsi="Arial"/>
          <w:b/>
          <w:bCs/>
          <w:color w:val="2E75B6"/>
          <w:sz w:val="26"/>
          <w:szCs w:val="26"/>
        </w:rPr>
        <w:t xml:space="preserve">4.2 Total Price (total_price)</w:t>
      </w:r>
    </w:p>
    <w:p>
      <w:pPr>
        <w:spacing w:after="120"/>
      </w:pPr>
      <w:r>
        <w:rPr>
          <w:rFonts w:ascii="Arial" w:cs="Arial" w:eastAsia="Arial" w:hAnsi="Arial"/>
          <w:b w:val="false"/>
          <w:bCs w:val="false"/>
          <w:color w:val="000000"/>
          <w:sz w:val="20"/>
          <w:szCs w:val="20"/>
        </w:rPr>
        <w:t xml:space="preserve">A vectorised column total_price was derived as price × quantity, representing the actual revenue generated per transaction. This is used in downstream revenue analyses.</w:t>
      </w:r>
    </w:p>
    <w:p>
      <w:r>
        <w:t xml:space="preserve"/>
      </w:r>
    </w:p>
    <w:p>
      <w:pPr>
        <w:pStyle w:val="Heading1"/>
      </w:pPr>
      <w:r>
        <w:rPr>
          <w:rFonts w:ascii="Arial" w:cs="Arial" w:eastAsia="Arial" w:hAnsi="Arial"/>
          <w:b/>
          <w:bCs/>
          <w:color w:val="1F3864"/>
          <w:sz w:val="32"/>
          <w:szCs w:val="32"/>
        </w:rPr>
        <w:t xml:space="preserve">5. Revenue Analysis</w:t>
      </w:r>
    </w:p>
    <w:p>
      <w:pPr>
        <w:pStyle w:val="Heading2"/>
      </w:pPr>
      <w:r>
        <w:rPr>
          <w:rFonts w:ascii="Arial" w:cs="Arial" w:eastAsia="Arial" w:hAnsi="Arial"/>
          <w:b/>
          <w:bCs/>
          <w:color w:val="2E75B6"/>
          <w:sz w:val="26"/>
          <w:szCs w:val="26"/>
        </w:rPr>
        <w:t xml:space="preserve">5.1 Revenue by Gender</w:t>
      </w:r>
    </w:p>
    <w:p>
      <w:pPr>
        <w:spacing w:after="120"/>
      </w:pPr>
      <w:r>
        <w:rPr>
          <w:rFonts w:ascii="Arial" w:cs="Arial" w:eastAsia="Arial" w:hAnsi="Arial"/>
          <w:b w:val="false"/>
          <w:bCs w:val="false"/>
          <w:color w:val="000000"/>
          <w:sz w:val="20"/>
          <w:szCs w:val="20"/>
        </w:rPr>
        <w:t xml:space="preserve">Female customers contribute significantly more revenue than male customers, accounting for nearly 60% of total sales.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Gender</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Revenue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of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40,931,801.62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27,619,564.29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68,551,365.91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w:t>
            </w:r>
          </w:p>
        </w:tc>
      </w:tr>
    </w:tbl>
    <w:p>
      <w:r>
        <w:t xml:space="preserve"/>
      </w:r>
    </w:p>
    <w:p>
      <w:pPr>
        <w:spacing w:after="120"/>
      </w:pPr>
      <w:r>
        <w:rPr>
          <w:rFonts w:ascii="Arial" w:cs="Arial" w:eastAsia="Arial" w:hAnsi="Arial"/>
          <w:b w:val="false"/>
          <w:bCs w:val="false"/>
          <w:color w:val="000000"/>
          <w:sz w:val="20"/>
          <w:szCs w:val="20"/>
        </w:rPr>
        <w:t xml:space="preserve">This gap suggests marketing and product strategies may be more effective when directed at female demographics, or that women represent a larger portion of the shopping mall visitor base.</w:t>
      </w:r>
    </w:p>
    <w:p>
      <w:r>
        <w:t xml:space="preserve"/>
      </w:r>
    </w:p>
    <w:p>
      <w:pPr>
        <w:pStyle w:val="Heading2"/>
      </w:pPr>
      <w:r>
        <w:rPr>
          <w:rFonts w:ascii="Arial" w:cs="Arial" w:eastAsia="Arial" w:hAnsi="Arial"/>
          <w:b/>
          <w:bCs/>
          <w:color w:val="2E75B6"/>
          <w:sz w:val="26"/>
          <w:szCs w:val="26"/>
        </w:rPr>
        <w:t xml:space="preserve">5.2 Revenue by Shopping Mall</w:t>
      </w:r>
    </w:p>
    <w:p>
      <w:pPr>
        <w:spacing w:after="120"/>
      </w:pPr>
      <w:r>
        <w:rPr>
          <w:rFonts w:ascii="Arial" w:cs="Arial" w:eastAsia="Arial" w:hAnsi="Arial"/>
          <w:b w:val="false"/>
          <w:bCs w:val="false"/>
          <w:color w:val="000000"/>
          <w:sz w:val="20"/>
          <w:szCs w:val="20"/>
        </w:rPr>
        <w:t xml:space="preserve">Total revenue was computed per mall using a grouped sum on total_price. The analysis reveals that certain malls are significantly stronger revenue contributors, likely tied to footfall, store count, and product mix. A horizontal bar chart was used to visualise the ranking.</w:t>
      </w:r>
    </w:p>
    <w:p>
      <w:r>
        <w:t xml:space="preserve"/>
      </w:r>
    </w:p>
    <w:p>
      <w:pPr>
        <w:pStyle w:val="Heading1"/>
      </w:pPr>
      <w:r>
        <w:rPr>
          <w:rFonts w:ascii="Arial" w:cs="Arial" w:eastAsia="Arial" w:hAnsi="Arial"/>
          <w:b/>
          <w:bCs/>
          <w:color w:val="1F3864"/>
          <w:sz w:val="32"/>
          <w:szCs w:val="32"/>
        </w:rPr>
        <w:t xml:space="preserve">6. Category Demand by Age Group</w:t>
      </w:r>
    </w:p>
    <w:p>
      <w:pPr>
        <w:spacing w:after="120"/>
      </w:pPr>
      <w:r>
        <w:rPr>
          <w:rFonts w:ascii="Arial" w:cs="Arial" w:eastAsia="Arial" w:hAnsi="Arial"/>
          <w:b w:val="false"/>
          <w:bCs w:val="false"/>
          <w:color w:val="000000"/>
          <w:sz w:val="20"/>
          <w:szCs w:val="20"/>
        </w:rPr>
        <w:t xml:space="preserve">Purchase counts were grouped by product category and age group to identify which demographics drive demand in each category. Results are shown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Young Adult</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Adult</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Middle-aged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Senior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1,253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1,242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Clothing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8,726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8,631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8,555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Cosmetics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3,719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3,773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 &amp; Beverage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3,655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2,510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Souvenir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1,252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Technology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1,243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1,211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2,616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2,473</w:t>
            </w:r>
          </w:p>
        </w:tc>
      </w:tr>
    </w:tbl>
    <w:p>
      <w:r>
        <w:t xml:space="preserve"/>
      </w:r>
    </w:p>
    <w:p>
      <w:pPr>
        <w:spacing w:after="120"/>
      </w:pPr>
      <w:r>
        <w:rPr>
          <w:rFonts w:ascii="Arial" w:cs="Arial" w:eastAsia="Arial" w:hAnsi="Arial"/>
          <w:b/>
          <w:bCs/>
          <w:color w:val="000000"/>
          <w:sz w:val="20"/>
          <w:szCs w:val="20"/>
        </w:rPr>
        <w:t xml:space="preserve">Key insights:</w:t>
      </w:r>
    </w:p>
    <w:p>
      <w:pPr>
        <w:spacing w:after="120"/>
      </w:pPr>
      <w:r>
        <w:rPr>
          <w:rFonts w:ascii="Arial" w:cs="Arial" w:eastAsia="Arial" w:hAnsi="Arial"/>
          <w:b w:val="false"/>
          <w:bCs w:val="false"/>
          <w:color w:val="000000"/>
          <w:sz w:val="20"/>
          <w:szCs w:val="20"/>
        </w:rPr>
        <w:t xml:space="preserve">• Clothing is the most popular category by a large margin across all age groups, with Young Adults leading (8,726 purchases).</w:t>
      </w:r>
    </w:p>
    <w:p>
      <w:pPr>
        <w:spacing w:after="120"/>
      </w:pPr>
      <w:r>
        <w:rPr>
          <w:rFonts w:ascii="Arial" w:cs="Arial" w:eastAsia="Arial" w:hAnsi="Arial"/>
          <w:b w:val="false"/>
          <w:bCs w:val="false"/>
          <w:color w:val="000000"/>
          <w:sz w:val="20"/>
          <w:szCs w:val="20"/>
        </w:rPr>
        <w:t xml:space="preserve">• Toys are driven by Young Adults (2,616) and Middle-aged customers, possibly reflecting both youthful shoppers and parents.</w:t>
      </w:r>
    </w:p>
    <w:p>
      <w:pPr>
        <w:spacing w:after="120"/>
      </w:pPr>
      <w:r>
        <w:rPr>
          <w:rFonts w:ascii="Arial" w:cs="Arial" w:eastAsia="Arial" w:hAnsi="Arial"/>
          <w:b w:val="false"/>
          <w:bCs w:val="false"/>
          <w:color w:val="000000"/>
          <w:sz w:val="20"/>
          <w:szCs w:val="20"/>
        </w:rPr>
        <w:t xml:space="preserve">• Cosmetics and Food &amp; Beverage are broadly distributed across age groups with no single dominant segment.</w:t>
      </w:r>
    </w:p>
    <w:p>
      <w:pPr>
        <w:spacing w:after="120"/>
      </w:pPr>
      <w:r>
        <w:rPr>
          <w:rFonts w:ascii="Arial" w:cs="Arial" w:eastAsia="Arial" w:hAnsi="Arial"/>
          <w:b w:val="false"/>
          <w:bCs w:val="false"/>
          <w:color w:val="000000"/>
          <w:sz w:val="20"/>
          <w:szCs w:val="20"/>
        </w:rPr>
        <w:t xml:space="preserve">• Technology purchases peak in the Adult segment (1,310), consistent with working-age income patterns.</w:t>
      </w:r>
    </w:p>
    <w:p>
      <w:pPr>
        <w:spacing w:after="120"/>
      </w:pPr>
      <w:r>
        <w:rPr>
          <w:rFonts w:ascii="Arial" w:cs="Arial" w:eastAsia="Arial" w:hAnsi="Arial"/>
          <w:b w:val="false"/>
          <w:bCs w:val="false"/>
          <w:color w:val="000000"/>
          <w:sz w:val="20"/>
          <w:szCs w:val="20"/>
        </w:rPr>
        <w:t xml:space="preserve">• Books and Souvenirs are consistently low across all groups.</w:t>
      </w:r>
    </w:p>
    <w:p>
      <w:r>
        <w:t xml:space="preserve"/>
      </w:r>
    </w:p>
    <w:p>
      <w:pPr>
        <w:pStyle w:val="Heading1"/>
      </w:pPr>
      <w:r>
        <w:rPr>
          <w:rFonts w:ascii="Arial" w:cs="Arial" w:eastAsia="Arial" w:hAnsi="Arial"/>
          <w:b/>
          <w:bCs/>
          <w:color w:val="1F3864"/>
          <w:sz w:val="32"/>
          <w:szCs w:val="32"/>
        </w:rPr>
        <w:t xml:space="preserve">7. Payment Method Analysis</w:t>
      </w:r>
    </w:p>
    <w:p>
      <w:pPr>
        <w:spacing w:after="120"/>
      </w:pPr>
      <w:r>
        <w:rPr>
          <w:rFonts w:ascii="Arial" w:cs="Arial" w:eastAsia="Arial" w:hAnsi="Arial"/>
          <w:b w:val="false"/>
          <w:bCs w:val="false"/>
          <w:color w:val="000000"/>
          <w:sz w:val="20"/>
          <w:szCs w:val="20"/>
        </w:rPr>
        <w:t xml:space="preserve">Payment methods were analysed using a bar plot (seaborn) of total price summed by method. Three methods are present in the dataset: Cash, Credit Card, and Debit Card.</w:t>
      </w:r>
    </w:p>
    <w:p>
      <w:r>
        <w:t xml:space="preserve"/>
      </w:r>
    </w:p>
    <w:p>
      <w:pPr>
        <w:spacing w:after="120"/>
      </w:pPr>
      <w:r>
        <w:rPr>
          <w:rFonts w:ascii="Arial" w:cs="Arial" w:eastAsia="Arial" w:hAnsi="Arial"/>
          <w:b/>
          <w:bCs/>
          <w:color w:val="000000"/>
          <w:sz w:val="20"/>
          <w:szCs w:val="20"/>
        </w:rPr>
        <w:t xml:space="preserve">Observed pattern:</w:t>
      </w:r>
    </w:p>
    <w:p>
      <w:pPr>
        <w:spacing w:after="120"/>
      </w:pPr>
      <w:r>
        <w:rPr>
          <w:rFonts w:ascii="Arial" w:cs="Arial" w:eastAsia="Arial" w:hAnsi="Arial"/>
          <w:b w:val="false"/>
          <w:bCs w:val="false"/>
          <w:color w:val="000000"/>
          <w:sz w:val="20"/>
          <w:szCs w:val="20"/>
        </w:rPr>
        <w:t xml:space="preserve">Cash appears to be the most widely used payment method when measured by total revenue contribution. Credit Card follows, with Debit Card being the least prevalent. This could reflect the demographic profile of mall shoppers or the mall locations' typical customer base.</w:t>
      </w:r>
    </w:p>
    <w:p>
      <w:r>
        <w:t xml:space="preserve"/>
      </w:r>
    </w:p>
    <w:p>
      <w:pPr>
        <w:pStyle w:val="Heading1"/>
      </w:pPr>
      <w:r>
        <w:rPr>
          <w:rFonts w:ascii="Arial" w:cs="Arial" w:eastAsia="Arial" w:hAnsi="Arial"/>
          <w:b/>
          <w:bCs/>
          <w:color w:val="1F3864"/>
          <w:sz w:val="32"/>
          <w:szCs w:val="32"/>
        </w:rPr>
        <w:t xml:space="preserve">8. Key Findings &amp; Recommendations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Finding</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Females generate ~60% of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 more in female-oriented product lines and targeted promotions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Clothing dominates sales across all age groups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Expand Clothing SKUs and leverage it as a cross-sell anchor 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Price distribution is highly right-skewed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Introduce tiered pricing strategies to boost mid-range sales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is the dominant payment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Offer incentives (discounts/points) for card payments to improve traceability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Technology purchases peak in Adults (31–43)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Target Tech marketing to working-age professionals with instalment payment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Some malls significantly outperform others in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Replicate high-performing mall strategies (store mix, layout, promotions) in lower performers</w:t>
            </w:r>
          </w:p>
        </w:tc>
      </w:tr>
    </w:tbl>
    <w:p>
      <w:r>
        <w:t xml:space="preserve"/>
      </w:r>
    </w:p>
    <w:p>
      <w:pPr>
        <w:pStyle w:val="Heading1"/>
      </w:pPr>
      <w:r>
        <w:rPr>
          <w:rFonts w:ascii="Arial" w:cs="Arial" w:eastAsia="Arial" w:hAnsi="Arial"/>
          <w:b/>
          <w:bCs/>
          <w:color w:val="1F3864"/>
          <w:sz w:val="32"/>
          <w:szCs w:val="32"/>
        </w:rPr>
        <w:t xml:space="preserve">9. Methodology &amp; Tools</w:t>
      </w:r>
    </w:p>
    <w:p>
      <w:pPr>
        <w:spacing w:after="120"/>
      </w:pPr>
      <w:r>
        <w:rPr>
          <w:rFonts w:ascii="Arial" w:cs="Arial" w:eastAsia="Arial" w:hAnsi="Arial"/>
          <w:b w:val="false"/>
          <w:bCs w:val="false"/>
          <w:color w:val="000000"/>
          <w:sz w:val="20"/>
          <w:szCs w:val="20"/>
        </w:rPr>
        <w:t xml:space="preserve">The analysis was conducted in a Jupyter Notebook using Python 3.10.9 with the following libraries:</w:t>
      </w:r>
    </w:p>
    <w:p>
      <w:pPr>
        <w:spacing w:after="120"/>
      </w:pPr>
      <w:r>
        <w:rPr>
          <w:rFonts w:ascii="Arial" w:cs="Arial" w:eastAsia="Arial" w:hAnsi="Arial"/>
          <w:b w:val="false"/>
          <w:bCs w:val="false"/>
          <w:color w:val="000000"/>
          <w:sz w:val="20"/>
          <w:szCs w:val="20"/>
        </w:rPr>
        <w:t xml:space="preserve">• pandas — data ingestion, cleaning, groupby aggregation, feature engineering</w:t>
      </w:r>
    </w:p>
    <w:p>
      <w:pPr>
        <w:spacing w:after="120"/>
      </w:pPr>
      <w:r>
        <w:rPr>
          <w:rFonts w:ascii="Arial" w:cs="Arial" w:eastAsia="Arial" w:hAnsi="Arial"/>
          <w:b w:val="false"/>
          <w:bCs w:val="false"/>
          <w:color w:val="000000"/>
          <w:sz w:val="20"/>
          <w:szCs w:val="20"/>
        </w:rPr>
        <w:t xml:space="preserve">• numpy — numerical operations and vectorisation</w:t>
      </w:r>
    </w:p>
    <w:p>
      <w:pPr>
        <w:spacing w:after="120"/>
      </w:pPr>
      <w:r>
        <w:rPr>
          <w:rFonts w:ascii="Arial" w:cs="Arial" w:eastAsia="Arial" w:hAnsi="Arial"/>
          <w:b w:val="false"/>
          <w:bCs w:val="false"/>
          <w:color w:val="000000"/>
          <w:sz w:val="20"/>
          <w:szCs w:val="20"/>
        </w:rPr>
        <w:t xml:space="preserve">• matplotlib — base chart rendering</w:t>
      </w:r>
    </w:p>
    <w:p>
      <w:pPr>
        <w:spacing w:after="120"/>
      </w:pPr>
      <w:r>
        <w:rPr>
          <w:rFonts w:ascii="Arial" w:cs="Arial" w:eastAsia="Arial" w:hAnsi="Arial"/>
          <w:b w:val="false"/>
          <w:bCs w:val="false"/>
          <w:color w:val="000000"/>
          <w:sz w:val="20"/>
          <w:szCs w:val="20"/>
        </w:rPr>
        <w:t xml:space="preserve">• seaborn — styled bar plots for payment and gender analysis</w:t>
      </w:r>
    </w:p>
    <w:p>
      <w:r>
        <w:t xml:space="preserve"/>
      </w:r>
    </w:p>
    <w:p>
      <w:pPr>
        <w:spacing w:after="120"/>
      </w:pPr>
      <w:r>
        <w:rPr>
          <w:rFonts w:ascii="Arial" w:cs="Arial" w:eastAsia="Arial" w:hAnsi="Arial"/>
          <w:b/>
          <w:bCs/>
          <w:color w:val="000000"/>
          <w:sz w:val="20"/>
          <w:szCs w:val="20"/>
        </w:rPr>
        <w:t xml:space="preserve">Techniques applied:</w:t>
      </w:r>
    </w:p>
    <w:p>
      <w:pPr>
        <w:spacing w:after="120"/>
      </w:pPr>
      <w:r>
        <w:rPr>
          <w:rFonts w:ascii="Arial" w:cs="Arial" w:eastAsia="Arial" w:hAnsi="Arial"/>
          <w:b w:val="false"/>
          <w:bCs w:val="false"/>
          <w:color w:val="000000"/>
          <w:sz w:val="20"/>
          <w:szCs w:val="20"/>
        </w:rPr>
        <w:t xml:space="preserve">• df.describe() for summary statistics</w:t>
      </w:r>
    </w:p>
    <w:p>
      <w:pPr>
        <w:spacing w:after="120"/>
      </w:pPr>
      <w:r>
        <w:rPr>
          <w:rFonts w:ascii="Arial" w:cs="Arial" w:eastAsia="Arial" w:hAnsi="Arial"/>
          <w:b w:val="false"/>
          <w:bCs w:val="false"/>
          <w:color w:val="000000"/>
          <w:sz w:val="20"/>
          <w:szCs w:val="20"/>
        </w:rPr>
        <w:t xml:space="preserve">• pd.qcut() for equal-frequency age binning</w:t>
      </w:r>
    </w:p>
    <w:p>
      <w:pPr>
        <w:spacing w:after="120"/>
      </w:pPr>
      <w:r>
        <w:rPr>
          <w:rFonts w:ascii="Arial" w:cs="Arial" w:eastAsia="Arial" w:hAnsi="Arial"/>
          <w:b w:val="false"/>
          <w:bCs w:val="false"/>
          <w:color w:val="000000"/>
          <w:sz w:val="20"/>
          <w:szCs w:val="20"/>
        </w:rPr>
        <w:t xml:space="preserve">• Vectorised column creation (price × quantity)</w:t>
      </w:r>
    </w:p>
    <w:p>
      <w:pPr>
        <w:spacing w:after="120"/>
      </w:pPr>
      <w:r>
        <w:rPr>
          <w:rFonts w:ascii="Arial" w:cs="Arial" w:eastAsia="Arial" w:hAnsi="Arial"/>
          <w:b w:val="false"/>
          <w:bCs w:val="false"/>
          <w:color w:val="000000"/>
          <w:sz w:val="20"/>
          <w:szCs w:val="20"/>
        </w:rPr>
        <w:t xml:space="preserve">• groupby + sum/value_counts for revenue and demand aggregation</w:t>
      </w:r>
    </w:p>
    <w:p>
      <w:pPr>
        <w:spacing w:after="120"/>
      </w:pPr>
      <w:r>
        <w:rPr>
          <w:rFonts w:ascii="Arial" w:cs="Arial" w:eastAsia="Arial" w:hAnsi="Arial"/>
          <w:b w:val="false"/>
          <w:bCs w:val="false"/>
          <w:color w:val="000000"/>
          <w:sz w:val="20"/>
          <w:szCs w:val="20"/>
        </w:rPr>
        <w:t xml:space="preserve">• sort_values + horizontal bar chart for mall revenue ranking</w:t>
      </w:r>
    </w:p>
    <w:p>
      <w:r>
        <w:t xml:space="preserve"/>
      </w:r>
    </w:p>
    <w:p>
      <w:pPr>
        <w:pBdr>
          <w:bottom w:val="single" w:color="2E75B6" w:sz="4" w:space="1"/>
        </w:pBdr>
      </w:pPr>
      <w:r>
        <w:t xml:space="preserve"/>
      </w:r>
    </w:p>
    <w:p>
      <w:r>
        <w:t xml:space="preserve"/>
      </w:r>
    </w:p>
    <w:p>
      <w:pPr>
        <w:jc w:val="center"/>
      </w:pPr>
      <w:r>
        <w:rPr>
          <w:rFonts w:ascii="Arial" w:cs="Arial" w:eastAsia="Arial" w:hAnsi="Arial"/>
          <w:i/>
          <w:iCs/>
          <w:color w:val="888888"/>
          <w:sz w:val="18"/>
          <w:szCs w:val="18"/>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Customer Sales Analysis Report</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2026-04-18T11:27:06.097Z</dcterms:created>
  <dcterms:modified xsi:type="dcterms:W3CDTF">2026-04-18T11:27:06.098Z</dcterms:modified>
</cp:coreProperties>
</file>

<file path=docProps/custom.xml><?xml version="1.0" encoding="utf-8"?>
<Properties xmlns="http://schemas.openxmlformats.org/officeDocument/2006/custom-properties" xmlns:vt="http://schemas.openxmlformats.org/officeDocument/2006/docPropsVTypes"/>
</file>