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CYBERSECURITY TASK 1</w:t>
      </w:r>
    </w:p>
    <w:p>
      <w:pPr>
        <w:jc w:val="center"/>
      </w:pPr>
      <w:r>
        <w:rPr>
          <w:b/>
          <w:sz w:val="32"/>
        </w:rPr>
        <w:t>Reconnaissance &amp; Vulnerability Scanning</w:t>
      </w:r>
    </w:p>
    <w:p/>
    <w:p>
      <w:r>
        <w:rPr>
          <w:b/>
          <w:sz w:val="28"/>
        </w:rPr>
        <w:t>1. Objective</w:t>
      </w:r>
    </w:p>
    <w:p>
      <w:r>
        <w:t>The objective of this task was to understand the basics of reconnaissance and vulnerability scanning using Nmap. The scan was performed on the local computer in an authorized environment.</w:t>
      </w:r>
    </w:p>
    <w:p>
      <w:r>
        <w:rPr>
          <w:b/>
          <w:sz w:val="28"/>
        </w:rPr>
        <w:t>2. Tools Used</w:t>
      </w:r>
    </w:p>
    <w:p>
      <w:r>
        <w:t>• Nmap 7.991</w:t>
        <w:br/>
        <w:t>• Windows Command Prompt (CMD)</w:t>
        <w:br/>
        <w:t>• Windows Operating System</w:t>
      </w:r>
    </w:p>
    <w:p>
      <w:r>
        <w:rPr>
          <w:b/>
          <w:sz w:val="28"/>
        </w:rPr>
        <w:t>3. Environment</w:t>
      </w:r>
    </w:p>
    <w:p>
      <w:r>
        <w:t>The practical was performed on a Windows computer using Nmap. The target used for scanning was the local machine (localhost / 127.0.0.1).</w:t>
      </w:r>
    </w:p>
    <w:p>
      <w:r>
        <w:rPr>
          <w:b/>
          <w:sz w:val="28"/>
        </w:rPr>
        <w:t>4. Nmap Installation Verification</w:t>
      </w:r>
    </w:p>
    <w:p>
      <w:r>
        <w:t>The Nmap installation was verified using the following command:</w:t>
        <w:br/>
        <w:br/>
        <w:t>nmap --version</w:t>
        <w:br/>
        <w:br/>
        <w:t>The command successfully displayed Nmap version 7.991, confirming that Nmap was installed and working correctly.</w:t>
      </w:r>
    </w:p>
    <w:p>
      <w:r>
        <w:rPr>
          <w:b/>
        </w:rPr>
        <w:t>Evidence Screenshot 1 – Nmap version verification</w:t>
      </w:r>
    </w:p>
    <w:p>
      <w:pPr>
        <w:jc w:val="center"/>
      </w:pPr>
      <w:r>
        <w:drawing>
          <wp:inline xmlns:a="http://schemas.openxmlformats.org/drawingml/2006/main" xmlns:pic="http://schemas.openxmlformats.org/drawingml/2006/picture">
            <wp:extent cx="6035040" cy="3204836"/>
            <wp:docPr id="1" name="Picture 1"/>
            <wp:cNvGraphicFramePr>
              <a:graphicFrameLocks noChangeAspect="1"/>
            </wp:cNvGraphicFramePr>
            <a:graphic>
              <a:graphicData uri="http://schemas.openxmlformats.org/drawingml/2006/picture">
                <pic:pic>
                  <pic:nvPicPr>
                    <pic:cNvPr id="0" name="Screenshot 2026-09-18 173338.png"/>
                    <pic:cNvPicPr/>
                  </pic:nvPicPr>
                  <pic:blipFill>
                    <a:blip r:embed="rId9"/>
                    <a:stretch>
                      <a:fillRect/>
                    </a:stretch>
                  </pic:blipFill>
                  <pic:spPr>
                    <a:xfrm>
                      <a:off x="0" y="0"/>
                      <a:ext cx="6035040" cy="3204836"/>
                    </a:xfrm>
                    <a:prstGeom prst="rect"/>
                  </pic:spPr>
                </pic:pic>
              </a:graphicData>
            </a:graphic>
          </wp:inline>
        </w:drawing>
      </w:r>
    </w:p>
    <w:p>
      <w:r>
        <w:rPr>
          <w:b/>
          <w:sz w:val="28"/>
        </w:rPr>
        <w:t>5. Localhost Scan</w:t>
      </w:r>
    </w:p>
    <w:p>
      <w:r>
        <w:t>A basic Nmap scan was performed on the local computer using:</w:t>
        <w:br/>
        <w:br/>
        <w:t>nmap localhost</w:t>
        <w:br/>
        <w:br/>
        <w:t>The scan successfully identified the local host as active.</w:t>
      </w:r>
    </w:p>
    <w:p>
      <w:r>
        <w:rPr>
          <w:b/>
        </w:rPr>
        <w:t>Evidence Screenshot 2 – Nmap localhost scan</w:t>
      </w:r>
    </w:p>
    <w:p>
      <w:pPr>
        <w:jc w:val="center"/>
      </w:pPr>
      <w:r>
        <w:drawing>
          <wp:inline xmlns:a="http://schemas.openxmlformats.org/drawingml/2006/main" xmlns:pic="http://schemas.openxmlformats.org/drawingml/2006/picture">
            <wp:extent cx="6035040" cy="3204836"/>
            <wp:docPr id="2" name="Picture 2"/>
            <wp:cNvGraphicFramePr>
              <a:graphicFrameLocks noChangeAspect="1"/>
            </wp:cNvGraphicFramePr>
            <a:graphic>
              <a:graphicData uri="http://schemas.openxmlformats.org/drawingml/2006/picture">
                <pic:pic>
                  <pic:nvPicPr>
                    <pic:cNvPr id="0" name="Screenshot 2026-09-18 173338.png"/>
                    <pic:cNvPicPr/>
                  </pic:nvPicPr>
                  <pic:blipFill>
                    <a:blip r:embed="rId9"/>
                    <a:stretch>
                      <a:fillRect/>
                    </a:stretch>
                  </pic:blipFill>
                  <pic:spPr>
                    <a:xfrm>
                      <a:off x="0" y="0"/>
                      <a:ext cx="6035040" cy="3204836"/>
                    </a:xfrm>
                    <a:prstGeom prst="rect"/>
                  </pic:spPr>
                </pic:pic>
              </a:graphicData>
            </a:graphic>
          </wp:inline>
        </w:drawing>
      </w:r>
    </w:p>
    <w:p>
      <w:r>
        <w:rPr>
          <w:b/>
          <w:sz w:val="28"/>
        </w:rPr>
        <w:t>6. Scan Findings</w:t>
      </w:r>
    </w:p>
    <w:tbl>
      <w:tblPr>
        <w:tblStyle w:val="TableGrid"/>
        <w:tblW w:type="auto" w:w="0"/>
        <w:tblLook w:firstColumn="1" w:firstRow="1" w:lastColumn="0" w:lastRow="0" w:noHBand="0" w:noVBand="1" w:val="04A0"/>
      </w:tblPr>
      <w:tblGrid>
        <w:gridCol w:w="2880"/>
        <w:gridCol w:w="2880"/>
        <w:gridCol w:w="2880"/>
      </w:tblGrid>
      <w:tr>
        <w:tc>
          <w:tcPr>
            <w:tcW w:type="dxa" w:w="2880"/>
          </w:tcPr>
          <w:p>
            <w:r>
              <w:t>Port</w:t>
            </w:r>
          </w:p>
        </w:tc>
        <w:tc>
          <w:tcPr>
            <w:tcW w:type="dxa" w:w="2880"/>
          </w:tcPr>
          <w:p>
            <w:r>
              <w:t>State</w:t>
            </w:r>
          </w:p>
        </w:tc>
        <w:tc>
          <w:tcPr>
            <w:tcW w:type="dxa" w:w="2880"/>
          </w:tcPr>
          <w:p>
            <w:r>
              <w:t>Service</w:t>
            </w:r>
          </w:p>
        </w:tc>
      </w:tr>
      <w:tr>
        <w:tc>
          <w:tcPr>
            <w:tcW w:type="dxa" w:w="2880"/>
          </w:tcPr>
          <w:p>
            <w:r>
              <w:t>135/tcp</w:t>
            </w:r>
          </w:p>
        </w:tc>
        <w:tc>
          <w:tcPr>
            <w:tcW w:type="dxa" w:w="2880"/>
          </w:tcPr>
          <w:p>
            <w:r>
              <w:t>open</w:t>
            </w:r>
          </w:p>
        </w:tc>
        <w:tc>
          <w:tcPr>
            <w:tcW w:type="dxa" w:w="2880"/>
          </w:tcPr>
          <w:p>
            <w:r>
              <w:t>msrpc</w:t>
            </w:r>
          </w:p>
        </w:tc>
      </w:tr>
      <w:tr>
        <w:tc>
          <w:tcPr>
            <w:tcW w:type="dxa" w:w="2880"/>
          </w:tcPr>
          <w:p>
            <w:r>
              <w:t>445/tcp</w:t>
            </w:r>
          </w:p>
        </w:tc>
        <w:tc>
          <w:tcPr>
            <w:tcW w:type="dxa" w:w="2880"/>
          </w:tcPr>
          <w:p>
            <w:r>
              <w:t>open</w:t>
            </w:r>
          </w:p>
        </w:tc>
        <w:tc>
          <w:tcPr>
            <w:tcW w:type="dxa" w:w="2880"/>
          </w:tcPr>
          <w:p>
            <w:r>
              <w:t>microsoft-ds</w:t>
            </w:r>
          </w:p>
        </w:tc>
      </w:tr>
      <w:tr>
        <w:tc>
          <w:tcPr>
            <w:tcW w:type="dxa" w:w="2880"/>
          </w:tcPr>
          <w:p>
            <w:r>
              <w:t>10001/tcp</w:t>
            </w:r>
          </w:p>
        </w:tc>
        <w:tc>
          <w:tcPr>
            <w:tcW w:type="dxa" w:w="2880"/>
          </w:tcPr>
          <w:p>
            <w:r>
              <w:t>open</w:t>
            </w:r>
          </w:p>
        </w:tc>
        <w:tc>
          <w:tcPr>
            <w:tcW w:type="dxa" w:w="2880"/>
          </w:tcPr>
          <w:p>
            <w:r>
              <w:t>scp-config</w:t>
            </w:r>
          </w:p>
        </w:tc>
      </w:tr>
    </w:tbl>
    <w:p>
      <w:r>
        <w:t>The scan also reported 997 closed TCP ports. The scanned host was 127.0.0.1 (localhost).</w:t>
      </w:r>
    </w:p>
    <w:p>
      <w:r>
        <w:rPr>
          <w:b/>
          <w:sz w:val="28"/>
        </w:rPr>
        <w:t>7. Network Configuration</w:t>
      </w:r>
    </w:p>
    <w:p>
      <w:r>
        <w:t>The Windows ipconfig command was used to view the local network configuration. The screenshot shows the network adapter information and local IPv4 configuration.</w:t>
      </w:r>
    </w:p>
    <w:p>
      <w:r>
        <w:rPr>
          <w:b/>
        </w:rPr>
        <w:t>Evidence Screenshot 3 – ipconfig output</w:t>
      </w:r>
    </w:p>
    <w:p>
      <w:pPr>
        <w:jc w:val="center"/>
      </w:pPr>
      <w:r>
        <w:drawing>
          <wp:inline xmlns:a="http://schemas.openxmlformats.org/drawingml/2006/main" xmlns:pic="http://schemas.openxmlformats.org/drawingml/2006/picture">
            <wp:extent cx="6035040" cy="3204836"/>
            <wp:docPr id="3" name="Picture 3"/>
            <wp:cNvGraphicFramePr>
              <a:graphicFrameLocks noChangeAspect="1"/>
            </wp:cNvGraphicFramePr>
            <a:graphic>
              <a:graphicData uri="http://schemas.openxmlformats.org/drawingml/2006/picture">
                <pic:pic>
                  <pic:nvPicPr>
                    <pic:cNvPr id="0" name="Screenshot 2026-09-18 173338.png"/>
                    <pic:cNvPicPr/>
                  </pic:nvPicPr>
                  <pic:blipFill>
                    <a:blip r:embed="rId9"/>
                    <a:stretch>
                      <a:fillRect/>
                    </a:stretch>
                  </pic:blipFill>
                  <pic:spPr>
                    <a:xfrm>
                      <a:off x="0" y="0"/>
                      <a:ext cx="6035040" cy="3204836"/>
                    </a:xfrm>
                    <a:prstGeom prst="rect"/>
                  </pic:spPr>
                </pic:pic>
              </a:graphicData>
            </a:graphic>
          </wp:inline>
        </w:drawing>
      </w:r>
    </w:p>
    <w:p>
      <w:r>
        <w:rPr>
          <w:b/>
          <w:sz w:val="28"/>
        </w:rPr>
        <w:t>8. Findings and Observations</w:t>
      </w:r>
    </w:p>
    <w:p>
      <w:r>
        <w:t>The Nmap scan confirmed that the local computer was reachable and that three TCP ports were open during the scan. The remaining 997 scanned TCP ports were reported as closed. This exercise demonstrated how Nmap can be used to identify open ports and associated services on an authorized target.</w:t>
      </w:r>
    </w:p>
    <w:p>
      <w:r>
        <w:rPr>
          <w:b/>
          <w:sz w:val="28"/>
        </w:rPr>
        <w:t>9. Conclusion</w:t>
      </w:r>
    </w:p>
    <w:p>
      <w:r>
        <w:t>The task provided practical experience with basic reconnaissance and port scanning using Nmap. The local machine was successfully scanned, open ports were identified, and the results were documented. The activity was performed only on the local computer in an authorized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