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252"/>
          <w:tab w:val="right" w:pos="8504"/>
        </w:tabs>
        <w:spacing w:line="276" w:lineRule="auto"/>
        <w:jc w:val="center"/>
        <w:rPr>
          <w:b/>
          <w:color w:val="000000"/>
        </w:rPr>
      </w:pPr>
      <w:bookmarkStart w:id="0" w:name="_gjdgxs" w:colFirst="0" w:colLast="0"/>
      <w:bookmarkEnd w:id="0"/>
      <w:r>
        <w:rPr>
          <w:b/>
          <w:color w:val="000000"/>
        </w:rPr>
        <w:t>ANEXO I DA RESOLUÇÃO CEPE/UFRR Nº 056, de 23 de março de 2022.</w:t>
      </w:r>
    </w:p>
    <w:p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252"/>
          <w:tab w:val="right" w:pos="8504"/>
        </w:tabs>
        <w:spacing w:line="276" w:lineRule="auto"/>
        <w:jc w:val="center"/>
        <w:rPr>
          <w:b/>
          <w:color w:val="000000"/>
        </w:rPr>
      </w:pPr>
      <w:r>
        <w:rPr>
          <w:b/>
          <w:color w:val="000000"/>
        </w:rPr>
        <w:t>PLANO DE ENSINO</w:t>
      </w:r>
    </w:p>
    <w:p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252"/>
          <w:tab w:val="right" w:pos="8504"/>
        </w:tabs>
        <w:spacing w:line="276" w:lineRule="auto"/>
        <w:jc w:val="center"/>
        <w:rPr>
          <w:b/>
          <w:color w:val="000000"/>
        </w:rPr>
      </w:pPr>
    </w:p>
    <w:tbl>
      <w:tblPr>
        <w:tblStyle w:val="16"/>
        <w:tblW w:w="9855" w:type="dxa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41"/>
        <w:gridCol w:w="805"/>
        <w:gridCol w:w="1290"/>
        <w:gridCol w:w="273"/>
        <w:gridCol w:w="51"/>
        <w:gridCol w:w="12"/>
        <w:gridCol w:w="61"/>
        <w:gridCol w:w="721"/>
        <w:gridCol w:w="396"/>
        <w:gridCol w:w="169"/>
        <w:gridCol w:w="1533"/>
        <w:gridCol w:w="1047"/>
        <w:gridCol w:w="1492"/>
        <w:gridCol w:w="324"/>
        <w:gridCol w:w="753"/>
        <w:gridCol w:w="487"/>
      </w:tblGrid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NOME DO CURSO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t>Ciência Da Computação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933" w:type="dxa"/>
            <w:gridSpan w:val="7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rPr>
                <w:b/>
              </w:rPr>
            </w:pPr>
            <w:r>
              <w:rPr>
                <w:b/>
              </w:rPr>
              <w:t>NATUREZA DO CURSO</w:t>
            </w:r>
          </w:p>
        </w:tc>
        <w:tc>
          <w:tcPr>
            <w:tcW w:w="6922" w:type="dxa"/>
            <w:gridSpan w:val="9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FFFF"/>
            <w:vAlign w:val="center"/>
          </w:tcPr>
          <w:p>
            <w:pPr>
              <w:rPr>
                <w:b/>
              </w:rPr>
            </w:pPr>
            <w:r>
              <w:t>(X) Bacharelado | () Licenciatura | () Tecnológico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NOME DO PROFESSOR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Filipe Dwan Pereira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CÓDIGO / NOME DA DISCIPLINA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rFonts w:hint="default"/>
                <w:lang w:val="pt-BR"/>
              </w:rPr>
            </w:pPr>
            <w:r>
              <w:t>DCC60</w:t>
            </w:r>
            <w:r>
              <w:rPr>
                <w:rFonts w:hint="default"/>
                <w:lang w:val="pt-BR"/>
              </w:rPr>
              <w:t>7</w:t>
            </w:r>
            <w:r>
              <w:t xml:space="preserve"> - </w:t>
            </w:r>
            <w:r>
              <w:rPr>
                <w:rFonts w:hint="default"/>
                <w:lang w:val="pt-BR"/>
              </w:rPr>
              <w:t>Inteligência Artificial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53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5755" w:type="dxa"/>
            <w:gridSpan w:val="1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r>
              <w:t>( X ) Obrigatória | (  ) Eletiva | (  ) Optativa Livre | (  ) Outro:</w:t>
            </w:r>
          </w:p>
        </w:tc>
        <w:tc>
          <w:tcPr>
            <w:tcW w:w="1564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SEMESTRE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53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</w:tcPr>
          <w:p>
            <w:pPr>
              <w:rPr>
                <w:b/>
              </w:rPr>
            </w:pPr>
            <w:r>
              <w:rPr>
                <w:b/>
              </w:rPr>
              <w:t>FORMA DE IMPLEMENTAÇÃO</w:t>
            </w:r>
          </w:p>
        </w:tc>
        <w:tc>
          <w:tcPr>
            <w:tcW w:w="5755" w:type="dxa"/>
            <w:gridSpan w:val="1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r>
              <w:t>( X ) Regular Ensino Presencial |</w:t>
            </w:r>
          </w:p>
          <w:p>
            <w:r>
              <w:t>(     ) Regular Ensino por Atividade Não-Presenciais</w:t>
            </w:r>
          </w:p>
        </w:tc>
        <w:tc>
          <w:tcPr>
            <w:tcW w:w="1564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</w:pPr>
            <w:r>
              <w:t>2023.1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4219" w:type="dxa"/>
            <w:gridSpan w:val="1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CARGA HORÁRIA</w:t>
            </w:r>
          </w:p>
        </w:tc>
        <w:tc>
          <w:tcPr>
            <w:tcW w:w="5636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color w:val="C0504D"/>
              </w:rPr>
            </w:pPr>
            <w:r>
              <w:rPr>
                <w:b/>
              </w:rPr>
              <w:t>DISCIPLINAS PRÉ-REQUISITO(S)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Teórica</w:t>
            </w:r>
          </w:p>
        </w:tc>
        <w:tc>
          <w:tcPr>
            <w:tcW w:w="1563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Prática</w:t>
            </w:r>
          </w:p>
        </w:tc>
        <w:tc>
          <w:tcPr>
            <w:tcW w:w="1410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5636" w:type="dxa"/>
            <w:gridSpan w:val="6"/>
            <w:vMerge w:val="restart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Estrutura de Dados II</w:t>
            </w:r>
            <w:r>
              <w:rPr>
                <w:sz w:val="20"/>
                <w:szCs w:val="20"/>
              </w:rPr>
              <w:t xml:space="preserve"> (DCC </w:t>
            </w:r>
            <w:r>
              <w:rPr>
                <w:rFonts w:hint="default"/>
                <w:sz w:val="20"/>
                <w:szCs w:val="20"/>
                <w:lang w:val="pt-BR"/>
              </w:rPr>
              <w:t>405</w:t>
            </w:r>
            <w:r>
              <w:rPr>
                <w:sz w:val="20"/>
                <w:szCs w:val="20"/>
              </w:rPr>
              <w:t>)</w:t>
            </w:r>
          </w:p>
          <w:p>
            <w:pPr>
              <w:jc w:val="center"/>
              <w:rPr>
                <w:color w:val="C0504D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Lógica de Predicados</w:t>
            </w:r>
            <w:r>
              <w:rPr>
                <w:sz w:val="20"/>
                <w:szCs w:val="20"/>
              </w:rPr>
              <w:t xml:space="preserve"> (DCC 51</w:t>
            </w:r>
            <w:r>
              <w:rPr>
                <w:rFonts w:hint="default"/>
                <w:sz w:val="20"/>
                <w:szCs w:val="20"/>
                <w:lang w:val="pt-BR"/>
              </w:rPr>
              <w:t>1</w:t>
            </w:r>
            <w:r>
              <w:rPr>
                <w:sz w:val="20"/>
                <w:szCs w:val="20"/>
              </w:rPr>
              <w:t>)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30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1563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30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1410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60h</w:t>
            </w:r>
          </w:p>
        </w:tc>
        <w:tc>
          <w:tcPr>
            <w:tcW w:w="5636" w:type="dxa"/>
            <w:gridSpan w:val="6"/>
            <w:vMerge w:val="continue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EMENTA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Introdução à IA;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Estrutura e estratégias para Busca em Espaço de Estados;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Busca heurística;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Representação do conhecimento;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Método forte de solução de problemas;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Aprendizado de máquina: Simbólico;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Aprendizado de máquina: Conexionista; </w:t>
            </w:r>
          </w:p>
          <w:p>
            <w:pPr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Aprendizado de máquina: social e emergente.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OBJETIVOS DE APRENDIZAGEM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Entender os conceitos básicos e fundamentais da IA, estudar e compreender seus métodos, técnicas e aplicações, </w:t>
            </w:r>
          </w:p>
          <w:p>
            <w:pPr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além de realizar estudos em maior profundidade em áreas específicas da IA.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PROGRAMA DA DISCIPLINA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pStyle w:val="18"/>
              <w:numPr>
                <w:ilvl w:val="0"/>
                <w:numId w:val="1"/>
              </w:num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INTRODUÇÃO À IA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Histórico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Visão geral das áreas de aplicação da IA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Características importantes da IA </w:t>
            </w:r>
          </w:p>
          <w:p>
            <w:pPr>
              <w:pStyle w:val="18"/>
              <w:numPr>
                <w:ilvl w:val="0"/>
                <w:numId w:val="1"/>
              </w:numPr>
              <w:jc w:val="both"/>
            </w:pPr>
            <w:r>
              <w:rPr>
                <w:rFonts w:hint="default"/>
                <w:sz w:val="20"/>
                <w:szCs w:val="20"/>
              </w:rPr>
              <w:t>ESTRUTURA E ESTRATÉGIAS PARA BUSCA EM ESPAÇO DE ESTADOS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Introdução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Teoria dos grafos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Estratégias para busca em espaços de estados </w:t>
            </w:r>
          </w:p>
          <w:p>
            <w:pPr>
              <w:pStyle w:val="18"/>
              <w:numPr>
                <w:ilvl w:val="0"/>
                <w:numId w:val="1"/>
              </w:numPr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BUSCA HEURÍSTICA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Algoritmo de busca heurística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Admissibilidade, monotonia e grau de informação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Heurística em jogos </w:t>
            </w:r>
          </w:p>
          <w:p>
            <w:pPr>
              <w:pStyle w:val="18"/>
              <w:numPr>
                <w:ilvl w:val="0"/>
                <w:numId w:val="1"/>
              </w:numPr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REPRESENTAÇÃO DO CONHECIMENTO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Histórico dos esquemas representacionais de IA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Grafos conceituais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Representação explicita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Solução distribuídas </w:t>
            </w:r>
          </w:p>
          <w:p>
            <w:pPr>
              <w:pStyle w:val="18"/>
              <w:numPr>
                <w:ilvl w:val="0"/>
                <w:numId w:val="1"/>
              </w:numPr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MÉTODO FORTE DE SOLUÇÃO DE PROBLEMAS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Visão geral sobre sistemas especialistas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Sistemas especialistas baseados em regras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Sistemas baseados em modelo, em Casos e Híbridos </w:t>
            </w:r>
          </w:p>
          <w:p>
            <w:pPr>
              <w:pStyle w:val="18"/>
              <w:numPr>
                <w:ilvl w:val="0"/>
                <w:numId w:val="1"/>
              </w:numPr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APRENDIZADO DE MÁQUINA: SIMBÓLICO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Busca em Espaço de versões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Algoritmo ID3 para indução de árvores de decisão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Conhecimento e aprendizagem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Aprendizagem por reforço </w:t>
            </w:r>
          </w:p>
          <w:p>
            <w:pPr>
              <w:pStyle w:val="18"/>
              <w:numPr>
                <w:ilvl w:val="0"/>
                <w:numId w:val="1"/>
              </w:numPr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APRENDIZADO DE MÁQUINA: CONEXIONISTA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Fundamentos das redes conexionistas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Aprendizado do Perceptron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Aprendizagem por retropropagação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Aprendizado competitivo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Redes de atratores ou “memórias” </w:t>
            </w:r>
          </w:p>
          <w:p>
            <w:pPr>
              <w:pStyle w:val="18"/>
              <w:numPr>
                <w:ilvl w:val="0"/>
                <w:numId w:val="1"/>
              </w:numPr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APRENDIZADO DE MÁQUINA: SOCIAL E EMERGENTE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Modelos de aprendizagem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Algoritmo genético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Sistemas classificadores e programação genética </w:t>
            </w:r>
          </w:p>
          <w:p>
            <w:pPr>
              <w:pStyle w:val="18"/>
              <w:numPr>
                <w:ilvl w:val="1"/>
                <w:numId w:val="1"/>
              </w:numPr>
              <w:ind w:left="1440" w:leftChars="0" w:hanging="360" w:firstLineChars="0"/>
              <w:jc w:val="both"/>
            </w:pPr>
            <w:r>
              <w:rPr>
                <w:rFonts w:hint="default"/>
              </w:rPr>
              <w:t>Vida artificial e aprendizagem social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METODOLOGIA DE ENSINO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Data</w:t>
            </w:r>
          </w:p>
        </w:tc>
        <w:tc>
          <w:tcPr>
            <w:tcW w:w="2408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Obj. de aprendizagem</w:t>
            </w:r>
          </w:p>
        </w:tc>
        <w:tc>
          <w:tcPr>
            <w:tcW w:w="3145" w:type="dxa"/>
            <w:gridSpan w:val="4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Atividades para desenvolver objetivos</w:t>
            </w:r>
          </w:p>
        </w:tc>
        <w:tc>
          <w:tcPr>
            <w:tcW w:w="3056" w:type="dxa"/>
            <w:gridSpan w:val="4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Recursos necessários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06/03/2023</w:t>
            </w:r>
          </w:p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à</w:t>
            </w:r>
          </w:p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07/07/2023</w:t>
            </w:r>
          </w:p>
        </w:tc>
        <w:tc>
          <w:tcPr>
            <w:tcW w:w="2408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center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Introdução à IA</w:t>
            </w:r>
          </w:p>
        </w:tc>
        <w:tc>
          <w:tcPr>
            <w:tcW w:w="3145" w:type="dxa"/>
            <w:gridSpan w:val="4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Aulas expositivas, resolução de listas de exercício e realização/implementação de trabalhos.</w:t>
            </w:r>
          </w:p>
        </w:tc>
        <w:tc>
          <w:tcPr>
            <w:tcW w:w="3056" w:type="dxa"/>
            <w:gridSpan w:val="4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Quadro, Datashow, pincel, computador, WhatsApp,  SIGAA (com seus recursos); e-mails.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408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Estrutura e estratégias para Busca em Espaço de Estados;</w:t>
            </w:r>
          </w:p>
        </w:tc>
        <w:tc>
          <w:tcPr>
            <w:tcW w:w="3145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056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408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Representação do conhecimento;</w:t>
            </w:r>
          </w:p>
        </w:tc>
        <w:tc>
          <w:tcPr>
            <w:tcW w:w="3145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056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408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Método forte de solução de problemas; </w:t>
            </w:r>
          </w:p>
        </w:tc>
        <w:tc>
          <w:tcPr>
            <w:tcW w:w="3145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056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408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center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</w:rPr>
              <w:t>Aprendizado de máquina: Simbólico</w:t>
            </w:r>
            <w:r>
              <w:rPr>
                <w:rFonts w:hint="default"/>
                <w:sz w:val="20"/>
                <w:szCs w:val="20"/>
                <w:lang w:val="pt-BR"/>
              </w:rPr>
              <w:t xml:space="preserve"> e Conexionista</w:t>
            </w:r>
          </w:p>
        </w:tc>
        <w:tc>
          <w:tcPr>
            <w:tcW w:w="3145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056" w:type="dxa"/>
            <w:gridSpan w:val="4"/>
            <w:vMerge w:val="continue"/>
            <w:tcBorders>
              <w:left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246" w:type="dxa"/>
            <w:gridSpan w:val="2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408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Aprendizado de máquina: social e emergente.</w:t>
            </w:r>
          </w:p>
        </w:tc>
        <w:tc>
          <w:tcPr>
            <w:tcW w:w="3145" w:type="dxa"/>
            <w:gridSpan w:val="4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056" w:type="dxa"/>
            <w:gridSpan w:val="4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AVALIAÇÃO FORMATIVA DA APRENDIZAGEM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860" w:type="dxa"/>
            <w:gridSpan w:val="5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Objetivos de aprendizagem</w:t>
            </w:r>
          </w:p>
        </w:tc>
        <w:tc>
          <w:tcPr>
            <w:tcW w:w="5755" w:type="dxa"/>
            <w:gridSpan w:val="9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Instrumento avaliativo</w:t>
            </w:r>
          </w:p>
        </w:tc>
        <w:tc>
          <w:tcPr>
            <w:tcW w:w="1240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860" w:type="dxa"/>
            <w:gridSpan w:val="5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Introdução à IA;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Estrutura e estratégias para Busca em Espaço de Estados;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Busca heurística;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Representação do conhecimento;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Método forte de solução de problemas;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Aprendizado de máquina: Simbólico;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Aprendizado de máquina: Conexionista; </w:t>
            </w:r>
          </w:p>
          <w:p>
            <w:pPr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Aprendizado de máquina: social e emergente.</w:t>
            </w:r>
          </w:p>
        </w:tc>
        <w:tc>
          <w:tcPr>
            <w:tcW w:w="5755" w:type="dxa"/>
            <w:gridSpan w:val="9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AC: Avaliação Contínua, realizada gradualmente via resolução de listas de exercícios, implementação de trabalhos computacionais e leitura de artigos. Valor da componente = 10,0 pontos.</w:t>
            </w:r>
          </w:p>
        </w:tc>
        <w:tc>
          <w:tcPr>
            <w:tcW w:w="1240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06/03/2023</w:t>
            </w:r>
          </w:p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à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28/06/2023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860" w:type="dxa"/>
            <w:gridSpan w:val="5"/>
            <w:vMerge w:val="continue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755" w:type="dxa"/>
            <w:gridSpan w:val="9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AV1 e AV2: Provas escritas individuais = 10,0 pontos cada.</w:t>
            </w:r>
          </w:p>
        </w:tc>
        <w:tc>
          <w:tcPr>
            <w:tcW w:w="1240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A DEFINIR</w:t>
            </w:r>
            <w:bookmarkStart w:id="1" w:name="_GoBack"/>
            <w:bookmarkEnd w:id="1"/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860" w:type="dxa"/>
            <w:gridSpan w:val="5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5755" w:type="dxa"/>
            <w:gridSpan w:val="9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AF: trabalho prático. A nota será composta por: 50% Aplicação computacional + 30% relatório + 20% apresentação. Valor da componente = 10,0 pontos.</w:t>
            </w:r>
          </w:p>
        </w:tc>
        <w:tc>
          <w:tcPr>
            <w:tcW w:w="1240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03/07/2023 à</w:t>
            </w:r>
          </w:p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05/07/2023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FFFF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/>
              </w:rPr>
              <w:t>Cálculo da Nota Final</w:t>
            </w:r>
            <w:r>
              <w:t xml:space="preserve"> = (AC + AV1 + AV2 + AF)/4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Avaliação de Recuperação da Aprendizagem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872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Objetivos de aprendizagem</w:t>
            </w:r>
          </w:p>
        </w:tc>
        <w:tc>
          <w:tcPr>
            <w:tcW w:w="5743" w:type="dxa"/>
            <w:gridSpan w:val="8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Instrumento avaliativo</w:t>
            </w:r>
          </w:p>
        </w:tc>
        <w:tc>
          <w:tcPr>
            <w:tcW w:w="1240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rFonts w:hint="default"/>
                <w:b/>
                <w:sz w:val="20"/>
                <w:szCs w:val="20"/>
                <w:lang w:val="pt-BR"/>
              </w:rPr>
            </w:pPr>
            <w:r>
              <w:rPr>
                <w:b/>
              </w:rPr>
              <w:t>Data</w:t>
            </w:r>
            <w:r>
              <w:rPr>
                <w:rFonts w:hint="default"/>
                <w:b/>
                <w:lang w:val="pt-BR"/>
              </w:rPr>
              <w:t xml:space="preserve"> Prevista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2872" w:type="dxa"/>
            <w:gridSpan w:val="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Introdução à IA;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Estrutura e estratégias para Busca em Espaço de Estados;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Busca heurística;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Representação do conhecimento;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Método forte de solução de problemas;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Aprendizado de máquina: Simbólico; </w:t>
            </w:r>
          </w:p>
          <w:p>
            <w:p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Aprendizado de máquina: Conexionista; </w:t>
            </w:r>
          </w:p>
          <w:p>
            <w:pPr>
              <w:jc w:val="both"/>
              <w:rPr>
                <w:b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Aprendizado de máquina: social e emergente.</w:t>
            </w:r>
          </w:p>
        </w:tc>
        <w:tc>
          <w:tcPr>
            <w:tcW w:w="5743" w:type="dxa"/>
            <w:gridSpan w:val="8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Prova escrita individual de recuperação abordando o conteúdo todo do semestre. Valor da componente = 10,0 pontos.</w:t>
            </w:r>
          </w:p>
        </w:tc>
        <w:tc>
          <w:tcPr>
            <w:tcW w:w="1240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07/07/2023 à</w:t>
            </w:r>
          </w:p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07/07/2023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FFFF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Cálculo da Nota na Avaliação de Recuperação</w:t>
            </w:r>
            <w:r>
              <w:t xml:space="preserve"> = Desempenho do aluno na componente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</w:tcPr>
          <w:p>
            <w:pPr>
              <w:jc w:val="center"/>
              <w:rPr>
                <w:b/>
                <w:color w:val="C0504D"/>
              </w:rPr>
            </w:pPr>
            <w:r>
              <w:rPr>
                <w:b/>
              </w:rPr>
              <w:t>CONDIÇÕES PARA AUXÍLIO QUANDO ESTUDANTES NÃO ATINGIREM OS OBJETIVOS DE APRENDIZAGEM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Aulas de revisão, atividades de pesquisa, exercícios e trabalhos extras, atividades diversificadas que retomem conteúdos não assimilados, trabalhos com técnicas facilitadoras da aprendizagem como anotações, leituras e organização acadêmica.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REFERÊNCIAS RECOMENDADAS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rPr>
                <w:b/>
                <w:sz w:val="22"/>
                <w:szCs w:val="22"/>
              </w:rPr>
            </w:pPr>
            <w:r>
              <w:rPr>
                <w:b/>
              </w:rPr>
              <w:t xml:space="preserve">1. BÁSICA </w:t>
            </w:r>
          </w:p>
          <w:p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LUGER, GEORGE F. Inteligência artificial – Estruturas e estratégias para a solução de problemas complexos, </w:t>
            </w:r>
          </w:p>
          <w:p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4.ed. Porto Alegre, Bookman, 2004. </w:t>
            </w:r>
          </w:p>
          <w:p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RUSSEL, STUART &amp; NORVIG PETER, Inteligência artificial, 5.ed. Rio de Janeiro, Elsevier, 2004. </w:t>
            </w:r>
          </w:p>
          <w:p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Géron, Aurélien. Hands-on machine learning with Scikit-Learn, Keras, and TensorFlow. " O'Reilly Media, Inc.", 2022.</w:t>
            </w:r>
          </w:p>
          <w:p>
            <w:pPr>
              <w:ind w:left="426" w:hanging="426"/>
              <w:rPr>
                <w:b/>
              </w:rPr>
            </w:pPr>
            <w:r>
              <w:rPr>
                <w:b/>
              </w:rPr>
              <w:t>2. COMPLEMENTAR</w:t>
            </w:r>
          </w:p>
          <w:p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Teixeira, João de Fernandes. O que é inteligência artificial. São Paulo, SP : Brasiliense, 1990. </w:t>
            </w:r>
          </w:p>
          <w:p>
            <w:r>
              <w:rPr>
                <w:rFonts w:hint="default"/>
                <w:sz w:val="20"/>
                <w:szCs w:val="20"/>
              </w:rPr>
              <w:t>Complementar: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8" w:hRule="atLeast"/>
        </w:trPr>
        <w:tc>
          <w:tcPr>
            <w:tcW w:w="9855" w:type="dxa"/>
            <w:gridSpan w:val="16"/>
            <w:tcBorders>
              <w:top w:val="single" w:color="7F7F7F" w:sz="4" w:space="0"/>
              <w:left w:val="single" w:color="7F7F7F" w:sz="4" w:space="0"/>
              <w:bottom w:val="nil"/>
              <w:right w:val="single" w:color="7F7F7F" w:sz="4" w:space="0"/>
            </w:tcBorders>
          </w:tcPr>
          <w:p>
            <w:pPr>
              <w:rPr>
                <w:b/>
                <w:sz w:val="6"/>
                <w:szCs w:val="6"/>
              </w:rPr>
            </w:pPr>
          </w:p>
          <w:p>
            <w:pPr>
              <w:rPr>
                <w:b/>
                <w:sz w:val="6"/>
                <w:szCs w:val="6"/>
              </w:rPr>
            </w:pPr>
          </w:p>
          <w:p>
            <w:pPr>
              <w:rPr>
                <w:b/>
                <w:sz w:val="6"/>
                <w:szCs w:val="6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76" w:hRule="atLeast"/>
        </w:trPr>
        <w:tc>
          <w:tcPr>
            <w:tcW w:w="441" w:type="dxa"/>
            <w:tcBorders>
              <w:top w:val="nil"/>
              <w:left w:val="single" w:color="7F7F7F" w:sz="4" w:space="0"/>
              <w:bottom w:val="nil"/>
              <w:right w:val="nil"/>
            </w:tcBorders>
          </w:tcPr>
          <w:p>
            <w:pPr>
              <w:rPr>
                <w:b/>
                <w:sz w:val="18"/>
                <w:szCs w:val="18"/>
              </w:rPr>
            </w:pPr>
          </w:p>
          <w:p>
            <w:pPr>
              <w:rPr>
                <w:b/>
                <w:sz w:val="18"/>
                <w:szCs w:val="18"/>
              </w:rPr>
            </w:pPr>
          </w:p>
          <w:p>
            <w:pPr>
              <w:rPr>
                <w:b/>
                <w:sz w:val="14"/>
                <w:szCs w:val="14"/>
              </w:rPr>
            </w:pPr>
          </w:p>
          <w:p>
            <w:pPr>
              <w:rPr>
                <w:b/>
                <w:sz w:val="18"/>
                <w:szCs w:val="18"/>
              </w:rPr>
            </w:pPr>
          </w:p>
          <w:p>
            <w:pPr>
              <w:rPr>
                <w:b/>
                <w:sz w:val="18"/>
                <w:szCs w:val="18"/>
              </w:rPr>
            </w:pPr>
          </w:p>
        </w:tc>
        <w:tc>
          <w:tcPr>
            <w:tcW w:w="3609" w:type="dxa"/>
            <w:gridSpan w:val="8"/>
            <w:tcBorders>
              <w:top w:val="nil"/>
              <w:left w:val="nil"/>
              <w:bottom w:val="single" w:color="7F7F7F" w:sz="4" w:space="0"/>
              <w:right w:val="nil"/>
            </w:tcBorders>
          </w:tcPr>
          <w:p>
            <w:pPr>
              <w:rPr>
                <w:b/>
                <w:sz w:val="6"/>
                <w:szCs w:val="6"/>
              </w:rPr>
            </w:pPr>
          </w:p>
          <w:p>
            <w:pPr>
              <w:rPr>
                <w:b/>
                <w:sz w:val="6"/>
                <w:szCs w:val="6"/>
              </w:rPr>
            </w:pPr>
          </w:p>
          <w:p>
            <w:pPr>
              <w:rPr>
                <w:b/>
                <w:sz w:val="6"/>
                <w:szCs w:val="6"/>
              </w:rPr>
            </w:pPr>
          </w:p>
          <w:p>
            <w:pPr>
              <w:rPr>
                <w:rFonts w:hint="default"/>
                <w:b/>
                <w:sz w:val="6"/>
                <w:szCs w:val="6"/>
                <w:lang w:val="pt-BR"/>
              </w:rPr>
            </w:pPr>
            <w:r>
              <w:rPr>
                <w:rFonts w:hint="default"/>
                <w:b/>
                <w:sz w:val="6"/>
                <w:szCs w:val="6"/>
                <w:lang w:val="pt-BR"/>
              </w:rPr>
              <w:drawing>
                <wp:inline distT="0" distB="0" distL="114300" distR="114300">
                  <wp:extent cx="2144395" cy="452755"/>
                  <wp:effectExtent l="0" t="0" r="1905" b="4445"/>
                  <wp:docPr id="3" name="Imagem 3" descr="Assinatura Digi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Assinatura Digita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395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sz w:val="6"/>
                <w:szCs w:val="6"/>
              </w:rPr>
            </w:pPr>
          </w:p>
        </w:tc>
        <w:tc>
          <w:tcPr>
            <w:tcW w:w="3616" w:type="dxa"/>
            <w:gridSpan w:val="4"/>
            <w:tcBorders>
              <w:top w:val="nil"/>
              <w:left w:val="nil"/>
              <w:bottom w:val="single" w:color="7F7F7F" w:sz="4" w:space="0"/>
              <w:right w:val="nil"/>
            </w:tcBorders>
          </w:tcPr>
          <w:p>
            <w:pPr>
              <w:rPr>
                <w:b/>
                <w:sz w:val="6"/>
                <w:szCs w:val="6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  <w:right w:val="single" w:color="7F7F7F" w:sz="4" w:space="0"/>
            </w:tcBorders>
          </w:tcPr>
          <w:p>
            <w:pPr>
              <w:rPr>
                <w:b/>
                <w:sz w:val="6"/>
                <w:szCs w:val="6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441" w:type="dxa"/>
            <w:tcBorders>
              <w:top w:val="nil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rPr>
                <w:b/>
              </w:rPr>
            </w:pPr>
          </w:p>
        </w:tc>
        <w:tc>
          <w:tcPr>
            <w:tcW w:w="3609" w:type="dxa"/>
            <w:gridSpan w:val="8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Professor Responsável</w:t>
            </w:r>
          </w:p>
          <w:p>
            <w:pPr>
              <w:jc w:val="center"/>
              <w:rPr>
                <w:rFonts w:hint="default"/>
                <w:lang w:val="pt-BR"/>
              </w:rPr>
            </w:pPr>
            <w:r>
              <w:t xml:space="preserve">Dr. </w:t>
            </w:r>
            <w:r>
              <w:rPr>
                <w:rFonts w:hint="default"/>
                <w:lang w:val="pt-BR"/>
              </w:rPr>
              <w:t>Filipe Dwan Pereira</w:t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single" w:color="7F7F7F" w:sz="4" w:space="0"/>
              <w:right w:val="nil"/>
            </w:tcBorders>
          </w:tcPr>
          <w:p>
            <w:pPr>
              <w:rPr>
                <w:b/>
              </w:rPr>
            </w:pPr>
          </w:p>
        </w:tc>
        <w:tc>
          <w:tcPr>
            <w:tcW w:w="3616" w:type="dxa"/>
            <w:gridSpan w:val="4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Coordenador(a) do Curso</w:t>
            </w:r>
          </w:p>
          <w:p>
            <w:pPr>
              <w:jc w:val="center"/>
            </w:pPr>
          </w:p>
        </w:tc>
        <w:tc>
          <w:tcPr>
            <w:tcW w:w="487" w:type="dxa"/>
            <w:tcBorders>
              <w:top w:val="nil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rPr>
                <w:b/>
              </w:rPr>
            </w:pPr>
          </w:p>
        </w:tc>
      </w:tr>
    </w:tbl>
    <w:p>
      <w:pPr>
        <w:spacing w:after="120"/>
      </w:pPr>
    </w:p>
    <w:sectPr>
      <w:headerReference r:id="rId4" w:type="first"/>
      <w:headerReference r:id="rId3" w:type="default"/>
      <w:footerReference r:id="rId5" w:type="default"/>
      <w:pgSz w:w="11905" w:h="16837"/>
      <w:pgMar w:top="2127" w:right="1134" w:bottom="1276" w:left="1701" w:header="720" w:footer="720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both"/>
    </w:pPr>
    <w:r>
      <mc:AlternateContent>
        <mc:Choice Requires="wps">
          <w:drawing>
            <wp:anchor distT="0" distB="0" distL="114935" distR="114935" simplePos="0" relativeHeight="251659264" behindDoc="0" locked="0" layoutInCell="1" allowOverlap="1">
              <wp:simplePos x="0" y="0"/>
              <wp:positionH relativeFrom="column">
                <wp:posOffset>610235</wp:posOffset>
              </wp:positionH>
              <wp:positionV relativeFrom="paragraph">
                <wp:posOffset>-164465</wp:posOffset>
              </wp:positionV>
              <wp:extent cx="4088765" cy="124333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06380" y="3163098"/>
                        <a:ext cx="4079240" cy="12338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>
                          <w:pPr>
                            <w:ind w:left="-5" w:right="-305" w:hanging="5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MINISTÉRIO DA EDUCAÇÃO </w:t>
                          </w: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br w:type="textWrapping"/>
                          </w: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>UNIVERSIDADE FEDERAL DE RORAIMA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>CONSELHO DE ENSINO, PESQUISA E EXTENSÃO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Av. Cap. Ene Garcez, 2413, Bairro Aeroporto, Boa Vista/RR, CEP: 69.304-000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 Telefone: (095) 3621-3108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E-mail: secretariadosconselhos@ufrr.br</w:t>
                          </w:r>
                        </w:p>
                      </w:txbxContent>
                    </wps:txbx>
                    <wps:bodyPr spcFirstLastPara="1" wrap="square" lIns="15875" tIns="15875" rIns="15875" bIns="1587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48.05pt;margin-top:-12.95pt;height:97.9pt;width:321.95pt;z-index:251659264;mso-width-relative:page;mso-height-relative:page;" fillcolor="#FFFFFF" filled="t" stroked="t" coordsize="21600,21600" o:gfxdata="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tulZdkAAAAKAQAADwAAAAAAAAAB&#10;ACAAAAAiAAAAZHJzL2Rvd25yZXYueG1sUEsBAhQAFAAAAAgAh07iQPkPNrxIAgAAwQQAAA4AAAAA&#10;AAAAAQAgAAAAKAEAAGRycy9lMm9Eb2MueG1sUEsFBgAAAAAGAAYAWQEAAOIFAAAAAA==&#10;">
              <v:fill on="t" focussize="0,0"/>
              <v:stroke color="#FFFFFF" miterlimit="8" joinstyle="miter" startarrowwidth="narrow" startarrowlength="short" endarrowwidth="narrow" endarrowlength="short"/>
              <v:imagedata o:title=""/>
              <o:lock v:ext="edit" aspectratio="f"/>
              <v:textbox inset="1.25pt,1.25pt,1.25pt,1.25pt">
                <w:txbxContent>
                  <w:p>
                    <w:pPr>
                      <w:ind w:left="-5" w:right="-305" w:hanging="5"/>
                      <w:jc w:val="center"/>
                    </w:pPr>
                    <w:r>
                      <w:rPr>
                        <w:b/>
                        <w:color w:val="000000"/>
                        <w:sz w:val="22"/>
                      </w:rPr>
                      <w:t xml:space="preserve">MINISTÉRIO DA EDUCAÇÃO </w:t>
                    </w:r>
                    <w:r>
                      <w:rPr>
                        <w:b/>
                        <w:color w:val="000000"/>
                        <w:sz w:val="22"/>
                      </w:rPr>
                      <w:br w:type="textWrapping"/>
                    </w:r>
                    <w:r>
                      <w:rPr>
                        <w:b/>
                        <w:color w:val="000000"/>
                        <w:sz w:val="22"/>
                      </w:rPr>
                      <w:t>UNIVERSIDADE FEDERAL DE RORAIMA</w:t>
                    </w:r>
                  </w:p>
                  <w:p>
                    <w:pPr>
                      <w:jc w:val="center"/>
                    </w:pPr>
                    <w:r>
                      <w:rPr>
                        <w:b/>
                        <w:color w:val="000000"/>
                        <w:sz w:val="22"/>
                      </w:rPr>
                      <w:t>CONSELHO DE ENSINO, PESQUISA E EXTENSÃO</w:t>
                    </w:r>
                  </w:p>
                  <w:p>
                    <w:pPr>
                      <w:jc w:val="center"/>
                    </w:pPr>
                    <w:r>
                      <w:rPr>
                        <w:color w:val="000000"/>
                        <w:sz w:val="16"/>
                      </w:rPr>
                      <w:t>Av. Cap. Ene Garcez, 2413, Bairro Aeroporto, Boa Vista/RR, CEP: 69.304-000</w:t>
                    </w:r>
                  </w:p>
                  <w:p>
                    <w:pPr>
                      <w:jc w:val="center"/>
                    </w:pPr>
                    <w:r>
                      <w:rPr>
                        <w:color w:val="000000"/>
                        <w:sz w:val="16"/>
                      </w:rPr>
                      <w:t xml:space="preserve"> Telefone: (095) 3621-3108</w:t>
                    </w:r>
                  </w:p>
                  <w:p>
                    <w:pPr>
                      <w:jc w:val="center"/>
                    </w:pPr>
                    <w:r>
                      <w:rPr>
                        <w:color w:val="000000"/>
                        <w:sz w:val="16"/>
                      </w:rPr>
                      <w:t>E-mail: secretariadosconselhos@ufrr.br</w:t>
                    </w:r>
                  </w:p>
                </w:txbxContent>
              </v:textbox>
            </v:rect>
          </w:pict>
        </mc:Fallback>
      </mc:AlternateContent>
    </w:r>
    <w:r>
      <w:drawing>
        <wp:anchor distT="0" distB="0" distL="114935" distR="114935" simplePos="0" relativeHeight="251660288" behindDoc="0" locked="0" layoutInCell="1" allowOverlap="1">
          <wp:simplePos x="0" y="0"/>
          <wp:positionH relativeFrom="column">
            <wp:posOffset>-281940</wp:posOffset>
          </wp:positionH>
          <wp:positionV relativeFrom="paragraph">
            <wp:posOffset>-93345</wp:posOffset>
          </wp:positionV>
          <wp:extent cx="913765" cy="920115"/>
          <wp:effectExtent l="0" t="0" r="0" b="0"/>
          <wp:wrapSquare wrapText="bothSides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3765" cy="920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4806950</wp:posOffset>
          </wp:positionH>
          <wp:positionV relativeFrom="paragraph">
            <wp:posOffset>-141605</wp:posOffset>
          </wp:positionV>
          <wp:extent cx="952500" cy="1076325"/>
          <wp:effectExtent l="0" t="0" r="0" b="0"/>
          <wp:wrapNone/>
          <wp:docPr id="9" name="image3.jpg" descr="NOVO BRASÃO - UFRR - CUni -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.jpg" descr="NOVO BRASÃO - UFRR - CUni - 15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rPr>
        <w:rFonts w:ascii="Calibri" w:hAnsi="Calibri" w:eastAsia="Calibri" w:cs="Calibri"/>
        <w:color w:val="000000"/>
        <w:sz w:val="22"/>
        <w:szCs w:val="22"/>
      </w:rPr>
    </w:pPr>
  </w:p>
  <w:p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rPr>
        <w:rFonts w:ascii="Calibri" w:hAnsi="Calibri" w:eastAsia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both"/>
    </w:pPr>
    <w:r>
      <mc:AlternateContent>
        <mc:Choice Requires="wps">
          <w:drawing>
            <wp:anchor distT="0" distB="0" distL="114935" distR="114935" simplePos="0" relativeHeight="251662336" behindDoc="0" locked="0" layoutInCell="1" allowOverlap="1">
              <wp:simplePos x="0" y="0"/>
              <wp:positionH relativeFrom="column">
                <wp:posOffset>991235</wp:posOffset>
              </wp:positionH>
              <wp:positionV relativeFrom="paragraph">
                <wp:posOffset>-164465</wp:posOffset>
              </wp:positionV>
              <wp:extent cx="3893185" cy="124333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04170" y="3163098"/>
                        <a:ext cx="3883660" cy="12338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>
                          <w:pPr>
                            <w:ind w:left="-5" w:right="-305" w:hanging="5"/>
                            <w:jc w:val="center"/>
                          </w:pPr>
                        </w:p>
                        <w:p>
                          <w:pPr>
                            <w:ind w:left="-5" w:right="-305" w:hanging="5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MINISTÉRIO DA EDUCAÇÃO </w:t>
                          </w: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br w:type="textWrapping"/>
                          </w: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>UNIVERSIDADE FEDERAL DE RORAIMA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>CONSELHO DE ENSINO, PESQUISA E EXTENSÃO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spcFirstLastPara="1" wrap="square" lIns="15875" tIns="15875" rIns="15875" bIns="1587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78.05pt;margin-top:-12.95pt;height:97.9pt;width:306.55pt;z-index:251662336;mso-width-relative:page;mso-height-relative:page;" fillcolor="#FFFFFF" filled="t" stroked="t" coordsize="21600,21600" o:gfxdata="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rngbNkAAAALAQAADwAAAAAAAAAB&#10;ACAAAAAiAAAAZHJzL2Rvd25yZXYueG1sUEsBAhQAFAAAAAgAh07iQPiB76JIAgAAwQQAAA4AAAAA&#10;AAAAAQAgAAAAKAEAAGRycy9lMm9Eb2MueG1sUEsFBgAAAAAGAAYAWQEAAOIFAAAAAA==&#10;">
              <v:fill on="t" focussize="0,0"/>
              <v:stroke color="#FFFFFF" miterlimit="8" joinstyle="miter" startarrowwidth="narrow" startarrowlength="short" endarrowwidth="narrow" endarrowlength="short"/>
              <v:imagedata o:title=""/>
              <o:lock v:ext="edit" aspectratio="f"/>
              <v:textbox inset="1.25pt,1.25pt,1.25pt,1.25pt">
                <w:txbxContent>
                  <w:p>
                    <w:pPr>
                      <w:ind w:left="-5" w:right="-305" w:hanging="5"/>
                      <w:jc w:val="center"/>
                    </w:pPr>
                  </w:p>
                  <w:p>
                    <w:pPr>
                      <w:ind w:left="-5" w:right="-305" w:hanging="5"/>
                      <w:jc w:val="center"/>
                    </w:pPr>
                    <w:r>
                      <w:rPr>
                        <w:b/>
                        <w:color w:val="000000"/>
                        <w:sz w:val="22"/>
                      </w:rPr>
                      <w:t xml:space="preserve">MINISTÉRIO DA EDUCAÇÃO </w:t>
                    </w:r>
                    <w:r>
                      <w:rPr>
                        <w:b/>
                        <w:color w:val="000000"/>
                        <w:sz w:val="22"/>
                      </w:rPr>
                      <w:br w:type="textWrapping"/>
                    </w:r>
                    <w:r>
                      <w:rPr>
                        <w:b/>
                        <w:color w:val="000000"/>
                        <w:sz w:val="22"/>
                      </w:rPr>
                      <w:t>UNIVERSIDADE FEDERAL DE RORAIMA</w:t>
                    </w:r>
                  </w:p>
                  <w:p>
                    <w:pPr>
                      <w:jc w:val="center"/>
                    </w:pPr>
                    <w:r>
                      <w:rPr>
                        <w:b/>
                        <w:color w:val="000000"/>
                        <w:sz w:val="22"/>
                      </w:rPr>
                      <w:t>CONSELHO DE ENSINO, PESQUISA E EXTENSÃO</w:t>
                    </w:r>
                  </w:p>
                  <w:p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935" distR="114935" simplePos="0" relativeHeight="251663360" behindDoc="0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-52705</wp:posOffset>
          </wp:positionV>
          <wp:extent cx="913765" cy="920115"/>
          <wp:effectExtent l="0" t="0" r="0" b="0"/>
          <wp:wrapSquare wrapText="bothSides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3765" cy="920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5118100</wp:posOffset>
          </wp:positionH>
          <wp:positionV relativeFrom="paragraph">
            <wp:posOffset>-161290</wp:posOffset>
          </wp:positionV>
          <wp:extent cx="952500" cy="1076325"/>
          <wp:effectExtent l="0" t="0" r="0" b="0"/>
          <wp:wrapNone/>
          <wp:docPr id="11" name="image3.jpg" descr="NOVO BRASÃO - UFRR - CUni -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3.jpg" descr="NOVO BRASÃO - UFRR - CUni - 15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rPr>
        <w:rFonts w:ascii="Calibri" w:hAnsi="Calibri" w:eastAsia="Calibri" w:cs="Calibri"/>
        <w:color w:val="000000"/>
        <w:sz w:val="22"/>
        <w:szCs w:val="22"/>
      </w:rPr>
    </w:pPr>
  </w:p>
  <w:p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rPr>
        <w:rFonts w:ascii="Calibri" w:hAnsi="Calibri" w:eastAsia="Calibri" w:cs="Calibri"/>
        <w:color w:val="000000"/>
        <w:sz w:val="22"/>
        <w:szCs w:val="22"/>
      </w:rPr>
    </w:pPr>
  </w:p>
  <w:p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rPr>
        <w:rFonts w:ascii="Calibri" w:hAnsi="Calibri" w:eastAsia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2251E1"/>
    <w:multiLevelType w:val="multilevel"/>
    <w:tmpl w:val="332251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8EA"/>
    <w:rsid w:val="00000AF1"/>
    <w:rsid w:val="0000698A"/>
    <w:rsid w:val="000F7AD1"/>
    <w:rsid w:val="001361D6"/>
    <w:rsid w:val="00137D20"/>
    <w:rsid w:val="001B689F"/>
    <w:rsid w:val="001E2F17"/>
    <w:rsid w:val="002748A4"/>
    <w:rsid w:val="002A75E9"/>
    <w:rsid w:val="003668EA"/>
    <w:rsid w:val="00372078"/>
    <w:rsid w:val="003F551E"/>
    <w:rsid w:val="00432E0D"/>
    <w:rsid w:val="004477FF"/>
    <w:rsid w:val="0046000B"/>
    <w:rsid w:val="004F0A24"/>
    <w:rsid w:val="006A6436"/>
    <w:rsid w:val="007A5B73"/>
    <w:rsid w:val="008129B4"/>
    <w:rsid w:val="0085681E"/>
    <w:rsid w:val="0088359E"/>
    <w:rsid w:val="008B5AC5"/>
    <w:rsid w:val="00933E85"/>
    <w:rsid w:val="009802E0"/>
    <w:rsid w:val="00A421D2"/>
    <w:rsid w:val="00A76115"/>
    <w:rsid w:val="00AA142B"/>
    <w:rsid w:val="00AB30B3"/>
    <w:rsid w:val="00B54C7C"/>
    <w:rsid w:val="00C04084"/>
    <w:rsid w:val="00C51162"/>
    <w:rsid w:val="00D562F6"/>
    <w:rsid w:val="00D60F01"/>
    <w:rsid w:val="00D67E02"/>
    <w:rsid w:val="00DB5BE5"/>
    <w:rsid w:val="00DD454D"/>
    <w:rsid w:val="00DF5803"/>
    <w:rsid w:val="00E91CEE"/>
    <w:rsid w:val="00EF6330"/>
    <w:rsid w:val="00F51567"/>
    <w:rsid w:val="00F91A49"/>
    <w:rsid w:val="00F97AFB"/>
    <w:rsid w:val="00FD5E5C"/>
    <w:rsid w:val="03A376FD"/>
    <w:rsid w:val="30C65C1E"/>
    <w:rsid w:val="6F340C86"/>
    <w:rsid w:val="70A3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4"/>
      <w:szCs w:val="24"/>
      <w:lang w:val="pt-BR" w:eastAsia="en-US" w:bidi="ar-SA"/>
    </w:rPr>
  </w:style>
  <w:style w:type="paragraph" w:styleId="2">
    <w:name w:val="heading 1"/>
    <w:basedOn w:val="1"/>
    <w:next w:val="1"/>
    <w:uiPriority w:val="0"/>
    <w:pPr>
      <w:keepNext/>
      <w:outlineLvl w:val="0"/>
    </w:pPr>
    <w:rPr>
      <w:rFonts w:ascii="Arial" w:hAnsi="Arial" w:eastAsia="Arial" w:cs="Arial"/>
      <w:b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ascii="Arial" w:hAnsi="Arial" w:eastAsia="Arial" w:cs="Arial"/>
      <w:b/>
      <w:color w:val="000000"/>
      <w:sz w:val="20"/>
      <w:szCs w:val="20"/>
    </w:rPr>
  </w:style>
  <w:style w:type="paragraph" w:styleId="5">
    <w:name w:val="heading 4"/>
    <w:basedOn w:val="1"/>
    <w:next w:val="1"/>
    <w:uiPriority w:val="0"/>
    <w:pPr>
      <w:keepNext/>
      <w:spacing w:before="240" w:after="60" w:line="252" w:lineRule="auto"/>
      <w:outlineLvl w:val="3"/>
    </w:pPr>
    <w:rPr>
      <w:rFonts w:ascii="Calibri" w:hAnsi="Calibri" w:eastAsia="Calibri" w:cs="Calibri"/>
      <w:b/>
      <w:color w:val="00000A"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 w:line="252" w:lineRule="auto"/>
      <w:outlineLvl w:val="4"/>
    </w:pPr>
    <w:rPr>
      <w:rFonts w:ascii="Calibri" w:hAnsi="Calibri" w:eastAsia="Calibri" w:cs="Calibri"/>
      <w:b/>
      <w:i/>
      <w:color w:val="00000A"/>
      <w:sz w:val="26"/>
      <w:szCs w:val="26"/>
    </w:rPr>
  </w:style>
  <w:style w:type="paragraph" w:styleId="7">
    <w:name w:val="heading 6"/>
    <w:basedOn w:val="1"/>
    <w:next w:val="1"/>
    <w:uiPriority w:val="0"/>
    <w:pPr>
      <w:keepNext/>
      <w:widowControl/>
      <w:outlineLvl w:val="5"/>
    </w:pPr>
    <w:rPr>
      <w:b/>
      <w:color w:val="00800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Body Text 3"/>
    <w:basedOn w:val="1"/>
    <w:link w:val="17"/>
    <w:uiPriority w:val="0"/>
    <w:pPr>
      <w:widowControl/>
      <w:spacing w:line="360" w:lineRule="auto"/>
      <w:jc w:val="both"/>
    </w:pPr>
    <w:rPr>
      <w:lang w:eastAsia="pt-BR"/>
    </w:rPr>
  </w:style>
  <w:style w:type="paragraph" w:styleId="12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5"/>
    <w:qFormat/>
    <w:uiPriority w:val="0"/>
    <w:tblPr>
      <w:tblCellMar>
        <w:left w:w="115" w:type="dxa"/>
        <w:right w:w="115" w:type="dxa"/>
      </w:tblCellMar>
    </w:tblPr>
  </w:style>
  <w:style w:type="character" w:customStyle="1" w:styleId="17">
    <w:name w:val="Corpo de texto 3 Char"/>
    <w:basedOn w:val="8"/>
    <w:link w:val="11"/>
    <w:qFormat/>
    <w:uiPriority w:val="0"/>
    <w:rPr>
      <w:lang w:eastAsia="pt-BR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Cabeçalho Char"/>
    <w:basedOn w:val="8"/>
    <w:link w:val="12"/>
    <w:qFormat/>
    <w:uiPriority w:val="99"/>
  </w:style>
  <w:style w:type="character" w:customStyle="1" w:styleId="20">
    <w:name w:val="Rodapé Char"/>
    <w:basedOn w:val="8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776</Words>
  <Characters>4194</Characters>
  <Lines>34</Lines>
  <Paragraphs>9</Paragraphs>
  <TotalTime>2</TotalTime>
  <ScaleCrop>false</ScaleCrop>
  <LinksUpToDate>false</LinksUpToDate>
  <CharactersWithSpaces>4961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2020-08-27T18:13:00Z</dcterms:created>
  <dc:creator>filip</dc:creator>
  <cp:lastModifiedBy>Filipe Dwan Pereira</cp:lastModifiedBy>
  <cp:lastPrinted>2022-04-25T21:09:00Z</cp:lastPrinted>
  <dcterms:modified xsi:type="dcterms:W3CDTF">2023-04-11T19:43:32Z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1046-11.2.0.11516</vt:lpwstr>
  </property>
  <property fmtid="{D5CDD505-2E9C-101B-9397-08002B2CF9AE}" pid="3" name="ICV">
    <vt:lpwstr>836A6C7A0B4948E5B2A5ED02E218364F</vt:lpwstr>
  </property>
</Properties>
</file>