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66FBC544" w:rsidR="004661F4"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760CE1">
        <w:rPr>
          <w:lang w:val="en-US"/>
        </w:rPr>
        <w:t>Designing the entire system gives the machine the ability to meet all requirements of the customer. The machine shall comply with the following specifications of the customer.</w:t>
      </w:r>
    </w:p>
    <w:p w14:paraId="63CBA116" w14:textId="7CD8FE91" w:rsidR="00760CE1"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w:t>
      </w:r>
      <w:r>
        <w:rPr>
          <w:lang w:val="en-US"/>
        </w:rPr>
        <w:t xml:space="preserve">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2F8F9B43" w14:textId="758505AA"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by </w:t>
      </w:r>
      <w:r w:rsidR="00331CFE">
        <w:rPr>
          <w:rFonts w:ascii="Times New Roman" w:hAnsi="Times New Roman" w:cs="Times New Roman"/>
          <w:sz w:val="20"/>
          <w:szCs w:val="20"/>
        </w:rPr>
        <w:t>PLCs</w:t>
      </w:r>
      <w:r w:rsidR="00E46B0D">
        <w:rPr>
          <w:rFonts w:ascii="Times New Roman" w:hAnsi="Times New Roman" w:cs="Times New Roman"/>
          <w:sz w:val="20"/>
          <w:szCs w:val="20"/>
        </w:rPr>
        <w:t xml:space="preserve">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xml:space="preserve"> as </w:t>
      </w:r>
      <w:r w:rsidR="00F532F4" w:rsidRPr="00F532F4">
        <w:rPr>
          <w:rFonts w:ascii="Times New Roman" w:hAnsi="Times New Roman" w:cs="Times New Roman"/>
          <w:sz w:val="20"/>
          <w:szCs w:val="20"/>
          <w:shd w:val="clear" w:color="auto" w:fill="FFFFFF"/>
        </w:rPr>
        <w:lastRenderedPageBreak/>
        <w:t>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w:t>
      </w:r>
      <w:r>
        <w:rPr>
          <w:rFonts w:ascii="Times New Roman" w:hAnsi="Times New Roman" w:cs="Times New Roman"/>
          <w:sz w:val="20"/>
          <w:szCs w:val="20"/>
          <w:shd w:val="clear" w:color="auto" w:fill="FFFFFF"/>
        </w:rPr>
        <w:t xml:space="preserve">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6F9DA591" w14:textId="0780480E" w:rsidR="00981158" w:rsidRPr="000262AA" w:rsidRDefault="00BF5206" w:rsidP="00981158">
      <w:pPr>
        <w:pStyle w:val="Heading1"/>
      </w:pPr>
      <w:r>
        <w:t>Block Diagram</w:t>
      </w:r>
    </w:p>
    <w:p w14:paraId="0DE592B5" w14:textId="54592BD9" w:rsidR="00981158" w:rsidRPr="00367067" w:rsidRDefault="00367067" w:rsidP="00981158">
      <w:pPr>
        <w:pStyle w:val="Heading2"/>
      </w:pPr>
      <w:r w:rsidRPr="00367067">
        <w:t>Raspberry Pi</w:t>
      </w:r>
    </w:p>
    <w:p w14:paraId="55D5EA41" w14:textId="2F87E35E" w:rsidR="00367067" w:rsidRDefault="00367067" w:rsidP="00367067">
      <w:pPr>
        <w:pStyle w:val="BodyText"/>
        <w:rPr>
          <w:lang w:val="en-US"/>
        </w:rPr>
      </w:pPr>
      <w:r>
        <w:rPr>
          <w:lang w:val="en-US"/>
        </w:rPr>
        <w:t xml:space="preserve">To meet the requirement of an MCU to hold the data of the system, a Raspberry Pi will be included to support a database for student information and allow the transmission to the customer. </w:t>
      </w:r>
      <w:r w:rsidR="000252C2" w:rsidRPr="000252C2">
        <w:rPr>
          <w:color w:val="FF0000"/>
          <w:lang w:val="en-US"/>
        </w:rPr>
        <w:t>Explain</w:t>
      </w:r>
      <w:r w:rsidR="000252C2">
        <w:rPr>
          <w:lang w:val="en-US"/>
        </w:rPr>
        <w:t xml:space="preserve"> </w:t>
      </w:r>
      <w:r w:rsidR="000252C2" w:rsidRPr="000252C2">
        <w:rPr>
          <w:color w:val="FF0000"/>
          <w:lang w:val="en-US"/>
        </w:rPr>
        <w:t>Inputs and Outputs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36D11135" w:rsidR="00BF5206" w:rsidRDefault="00816D70"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be used to keep a record of the inventory inside the machine and will be able to </w:t>
      </w:r>
      <w:r w:rsidR="00BF5206">
        <w:rPr>
          <w:rFonts w:ascii="Times New Roman" w:hAnsi="Times New Roman" w:cs="Times New Roman"/>
          <w:sz w:val="20"/>
          <w:szCs w:val="20"/>
        </w:rPr>
        <w:t xml:space="preserve">tell the customer whether a device is loaded or unloaded from a sensor in the PLC system. If loaded, the system will check whether the box is scanned in by the barcode scanner. If unloaded, the system will check whether the box is not scanned. All information will then be recorded and saved in the inventory section of the database. </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395188BB" w14:textId="7A3AECDF"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also be used to keep a record of the students who have rented devices for classes and will also be able to send the data to the customer through </w:t>
      </w:r>
      <w:r w:rsidR="00812D14">
        <w:rPr>
          <w:rFonts w:ascii="Times New Roman" w:hAnsi="Times New Roman" w:cs="Times New Roman"/>
          <w:sz w:val="20"/>
          <w:szCs w:val="20"/>
        </w:rPr>
        <w:t xml:space="preserve">Ethernet. Under the student portion of the database, the T number will be recorded from the card reader connected to the MCU. The name and email of the student will be taken in by a user interface. A course section will then be chosen from a list of courses held by the database. Once a board is chosen, the barcode will be read by the scanner and logged for use by the customer. </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3DE4C47C"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 </w:t>
      </w:r>
      <w:r w:rsidR="000252C2" w:rsidRPr="000252C2">
        <w:rPr>
          <w:rFonts w:ascii="Times New Roman" w:hAnsi="Times New Roman" w:cs="Times New Roman"/>
          <w:color w:val="FF0000"/>
          <w:sz w:val="20"/>
          <w:szCs w:val="20"/>
        </w:rPr>
        <w:t xml:space="preserve">Find numbers and references for </w:t>
      </w:r>
      <w:proofErr w:type="gramStart"/>
      <w:r w:rsidR="000252C2" w:rsidRPr="000252C2">
        <w:rPr>
          <w:rFonts w:ascii="Times New Roman" w:hAnsi="Times New Roman" w:cs="Times New Roman"/>
          <w:color w:val="FF0000"/>
          <w:sz w:val="20"/>
          <w:szCs w:val="20"/>
        </w:rPr>
        <w:t>In</w:t>
      </w:r>
      <w:proofErr w:type="gramEnd"/>
      <w:r w:rsidR="000252C2" w:rsidRPr="000252C2">
        <w:rPr>
          <w:rFonts w:ascii="Times New Roman" w:hAnsi="Times New Roman" w:cs="Times New Roman"/>
          <w:color w:val="FF0000"/>
          <w:sz w:val="20"/>
          <w:szCs w:val="20"/>
        </w:rPr>
        <w:t>/Out</w:t>
      </w:r>
    </w:p>
    <w:p w14:paraId="0E913C99" w14:textId="0B2A603F" w:rsidR="004E57AE" w:rsidRDefault="004E57AE" w:rsidP="00812D14">
      <w:pPr>
        <w:ind w:left="288"/>
        <w:rPr>
          <w:rFonts w:ascii="Times New Roman" w:hAnsi="Times New Roman" w:cs="Times New Roman"/>
          <w:sz w:val="20"/>
          <w:szCs w:val="20"/>
        </w:rPr>
      </w:pPr>
      <w:r>
        <w:rPr>
          <w:rFonts w:ascii="Times New Roman" w:hAnsi="Times New Roman" w:cs="Times New Roman"/>
          <w:sz w:val="20"/>
          <w:szCs w:val="20"/>
        </w:rPr>
        <w:t>Input: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Pr>
          <w:rFonts w:ascii="Times New Roman" w:hAnsi="Times New Roman" w:cs="Times New Roman"/>
          <w:sz w:val="20"/>
          <w:szCs w:val="20"/>
        </w:rPr>
        <w:t>Output: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155B2D0B" w14:textId="4ED0445D" w:rsidR="0067166E" w:rsidRPr="0067166E" w:rsidRDefault="00EA4541" w:rsidP="0067166E">
      <w:pPr>
        <w:pStyle w:val="ListParagraph"/>
        <w:numPr>
          <w:ilvl w:val="0"/>
          <w:numId w:val="16"/>
        </w:numPr>
        <w:rPr>
          <w:rFonts w:ascii="Times New Roman" w:hAnsi="Times New Roman" w:cs="Times New Roman"/>
          <w:sz w:val="20"/>
          <w:szCs w:val="20"/>
        </w:rPr>
      </w:pPr>
      <w:r>
        <w:rPr>
          <w:rFonts w:ascii="Times New Roman" w:hAnsi="Times New Roman" w:cs="Times New Roman"/>
          <w:color w:val="FF0000"/>
          <w:sz w:val="20"/>
          <w:szCs w:val="20"/>
        </w:rPr>
        <w:lastRenderedPageBreak/>
        <w:t>Explain Touchscreen</w:t>
      </w:r>
      <w:r w:rsidR="00830C3B">
        <w:rPr>
          <w:rFonts w:ascii="Times New Roman" w:hAnsi="Times New Roman" w:cs="Times New Roman"/>
          <w:color w:val="FF0000"/>
          <w:sz w:val="20"/>
          <w:szCs w:val="20"/>
        </w:rPr>
        <w:t>, Inputs, Outputs</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7F13A58E" w:rsidR="008A54EA" w:rsidRPr="00163B67" w:rsidRDefault="006C1C34" w:rsidP="001F7439">
      <w:pPr>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r w:rsidR="008A54EA" w:rsidRPr="008A54EA">
        <w:rPr>
          <w:rFonts w:ascii="Times New Roman" w:hAnsi="Times New Roman" w:cs="Times New Roman"/>
          <w:color w:val="FF0000"/>
          <w:sz w:val="20"/>
          <w:szCs w:val="20"/>
        </w:rPr>
        <w:t xml:space="preserve">Explain </w:t>
      </w:r>
      <w:r w:rsidR="008A54EA">
        <w:rPr>
          <w:rFonts w:ascii="Times New Roman" w:hAnsi="Times New Roman" w:cs="Times New Roman"/>
          <w:color w:val="FF0000"/>
          <w:sz w:val="20"/>
          <w:szCs w:val="20"/>
        </w:rPr>
        <w:t xml:space="preserve">the </w:t>
      </w:r>
      <w:r w:rsidR="008A54EA" w:rsidRPr="008A54EA">
        <w:rPr>
          <w:rFonts w:ascii="Times New Roman" w:hAnsi="Times New Roman" w:cs="Times New Roman"/>
          <w:color w:val="FF0000"/>
          <w:sz w:val="20"/>
          <w:szCs w:val="20"/>
        </w:rPr>
        <w:t>input/output</w:t>
      </w:r>
      <w:r w:rsidR="008A54EA">
        <w:rPr>
          <w:rFonts w:ascii="Times New Roman" w:hAnsi="Times New Roman" w:cs="Times New Roman"/>
          <w:color w:val="FF0000"/>
          <w:sz w:val="20"/>
          <w:szCs w:val="20"/>
        </w:rPr>
        <w:t xml:space="preserve"> with numbers</w:t>
      </w:r>
      <w:r w:rsidR="00163B67">
        <w:rPr>
          <w:rFonts w:ascii="Times New Roman" w:hAnsi="Times New Roman" w:cs="Times New Roman"/>
          <w:color w:val="FF0000"/>
          <w:sz w:val="20"/>
          <w:szCs w:val="20"/>
        </w:rPr>
        <w:t>.</w:t>
      </w:r>
    </w:p>
    <w:p w14:paraId="78F3E23C" w14:textId="77777777" w:rsidR="00DF01DF" w:rsidRPr="00385ECE" w:rsidRDefault="00DF01DF" w:rsidP="00DF01DF">
      <w:pPr>
        <w:pStyle w:val="Heading2"/>
      </w:pPr>
      <w:r w:rsidRPr="00385ECE">
        <w:t>PLC</w:t>
      </w:r>
    </w:p>
    <w:p w14:paraId="3F3B1754" w14:textId="77777777" w:rsidR="00DF01DF" w:rsidRDefault="00DF01DF" w:rsidP="00DF01DF">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DF01DF">
      <w:pPr>
        <w:pStyle w:val="Heading3"/>
        <w:rPr>
          <w:u w:val="single"/>
        </w:rPr>
      </w:pPr>
      <w:r>
        <w:rPr>
          <w:u w:val="single"/>
        </w:rPr>
        <w:t>Control System</w:t>
      </w:r>
    </w:p>
    <w:p w14:paraId="25A09307" w14:textId="77777777" w:rsidR="00DF01DF" w:rsidRDefault="00DF01DF" w:rsidP="00DF01DF">
      <w:pPr>
        <w:pStyle w:val="Heading4"/>
      </w:pPr>
      <w:r>
        <w:t>User Interface (UI)</w:t>
      </w:r>
    </w:p>
    <w:p w14:paraId="1C354CC9" w14:textId="77777777" w:rsidR="00DF01DF" w:rsidRDefault="00DF01DF" w:rsidP="00DF01DF">
      <w:pPr>
        <w:ind w:left="720"/>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9BA59B3" w14:textId="77777777" w:rsidR="00DF01DF" w:rsidRPr="0047258B"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4D0FCCE4" w14:textId="77777777" w:rsidR="00DF01DF" w:rsidRDefault="00DF01DF" w:rsidP="00DF01DF">
      <w:pPr>
        <w:ind w:left="720"/>
        <w:rPr>
          <w:rFonts w:ascii="Times New Roman" w:hAnsi="Times New Roman" w:cs="Times New Roman"/>
          <w:i/>
          <w:iCs/>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Display</w:t>
      </w:r>
    </w:p>
    <w:p w14:paraId="72342EC0" w14:textId="77777777" w:rsidR="00DF01DF" w:rsidRPr="00301113" w:rsidRDefault="00DF01DF" w:rsidP="00DF01DF">
      <w:pPr>
        <w:ind w:left="720"/>
        <w:rPr>
          <w:rFonts w:ascii="Times New Roman" w:hAnsi="Times New Roman" w:cs="Times New Roman"/>
          <w:sz w:val="20"/>
          <w:szCs w:val="20"/>
        </w:rPr>
      </w:pPr>
      <w:r>
        <w:rPr>
          <w:rFonts w:ascii="Times New Roman" w:hAnsi="Times New Roman" w:cs="Times New Roman"/>
          <w:sz w:val="20"/>
          <w:szCs w:val="20"/>
        </w:rPr>
        <w:t xml:space="preserve">      </w:t>
      </w:r>
      <w:r w:rsidRPr="00301113">
        <w:rPr>
          <w:rFonts w:ascii="Times New Roman" w:hAnsi="Times New Roman" w:cs="Times New Roman"/>
          <w:b/>
          <w:bCs/>
          <w:color w:val="FF0000"/>
          <w:sz w:val="20"/>
          <w:szCs w:val="20"/>
        </w:rPr>
        <w:t>Discuss the display</w:t>
      </w:r>
    </w:p>
    <w:p w14:paraId="56F2797B" w14:textId="77777777" w:rsidR="00DF01DF" w:rsidRDefault="00DF01DF" w:rsidP="00DF01DF">
      <w:pPr>
        <w:rPr>
          <w:rFonts w:ascii="Times New Roman" w:hAnsi="Times New Roman" w:cs="Times New Roman"/>
          <w:sz w:val="20"/>
          <w:szCs w:val="20"/>
        </w:rPr>
      </w:pPr>
      <w:r>
        <w:rPr>
          <w:rFonts w:ascii="Times New Roman" w:hAnsi="Times New Roman" w:cs="Times New Roman"/>
          <w:i/>
          <w:iCs/>
          <w:sz w:val="20"/>
          <w:szCs w:val="20"/>
        </w:rPr>
        <w:t xml:space="preserve">          b) Locks</w:t>
      </w:r>
    </w:p>
    <w:p w14:paraId="2F2B35BB"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DF01DF">
      <w:pPr>
        <w:ind w:left="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Drawer Locks</w:t>
      </w:r>
    </w:p>
    <w:p w14:paraId="5ACAF4B8" w14:textId="77777777" w:rsidR="00DF01DF" w:rsidRDefault="00DF01DF" w:rsidP="00DF01DF">
      <w:pPr>
        <w:ind w:left="1020" w:firstLine="420"/>
        <w:rPr>
          <w:rFonts w:ascii="Times New Roman" w:hAnsi="Times New Roman" w:cs="Times New Roman"/>
          <w:sz w:val="20"/>
          <w:szCs w:val="20"/>
        </w:rPr>
      </w:pPr>
      <w:r>
        <w:rPr>
          <w:rFonts w:ascii="Times New Roman" w:hAnsi="Times New Roman" w:cs="Times New Roman"/>
          <w:b/>
          <w:bCs/>
          <w:color w:val="FF0000"/>
          <w:sz w:val="20"/>
          <w:szCs w:val="20"/>
        </w:rPr>
        <w:t>Explain how drawer solenoid locks must be stronger than the compartment locks because of the greater risk of losing more devices</w:t>
      </w:r>
    </w:p>
    <w:p w14:paraId="371B23CA"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77777777" w:rsidR="00DF01DF" w:rsidRPr="00D56FFB" w:rsidRDefault="00DF01DF" w:rsidP="00DF01DF">
      <w:pPr>
        <w:ind w:left="1020" w:firstLine="420"/>
        <w:rPr>
          <w:rFonts w:ascii="Times New Roman" w:hAnsi="Times New Roman" w:cs="Times New Roman"/>
          <w:sz w:val="20"/>
          <w:szCs w:val="20"/>
        </w:rPr>
      </w:pPr>
      <w:r>
        <w:rPr>
          <w:rFonts w:ascii="Times New Roman" w:hAnsi="Times New Roman" w:cs="Times New Roman"/>
          <w:b/>
          <w:bCs/>
          <w:color w:val="FF0000"/>
          <w:sz w:val="20"/>
          <w:szCs w:val="20"/>
        </w:rPr>
        <w:t>Explain how these still have to be strong, just not as strong as the drawer locks.</w:t>
      </w:r>
    </w:p>
    <w:p w14:paraId="4B1A5365" w14:textId="77777777" w:rsidR="00DF01DF" w:rsidRDefault="00DF01DF" w:rsidP="00DF01DF">
      <w:pPr>
        <w:ind w:firstLine="28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DF01DF">
      <w:pPr>
        <w:ind w:left="720" w:firstLine="298"/>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DF01DF">
      <w:pPr>
        <w:ind w:firstLine="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77777777" w:rsidR="00DF01DF" w:rsidRDefault="00DF01DF" w:rsidP="00DF01DF">
      <w:pPr>
        <w:ind w:left="1018" w:firstLine="420"/>
        <w:rPr>
          <w:rFonts w:ascii="Times New Roman" w:hAnsi="Times New Roman" w:cs="Times New Roman"/>
          <w:color w:val="FF0000"/>
          <w:sz w:val="20"/>
          <w:szCs w:val="20"/>
        </w:rPr>
      </w:pPr>
      <w:r w:rsidRPr="00301113">
        <w:rPr>
          <w:rFonts w:ascii="Times New Roman" w:hAnsi="Times New Roman" w:cs="Times New Roman"/>
          <w:b/>
          <w:bCs/>
          <w:color w:val="FF0000"/>
          <w:sz w:val="20"/>
          <w:szCs w:val="20"/>
        </w:rPr>
        <w:t>Discuss LEDs</w:t>
      </w:r>
      <w:r>
        <w:rPr>
          <w:rFonts w:ascii="Times New Roman" w:hAnsi="Times New Roman" w:cs="Times New Roman"/>
          <w:b/>
          <w:bCs/>
          <w:color w:val="FF0000"/>
          <w:sz w:val="20"/>
          <w:szCs w:val="20"/>
        </w:rPr>
        <w:t xml:space="preserve"> and how there are two different sections (drawer and compartment)</w:t>
      </w:r>
    </w:p>
    <w:p w14:paraId="1CCA3AD3" w14:textId="77777777" w:rsidR="00DF01DF" w:rsidRDefault="00DF01DF" w:rsidP="00DF01DF">
      <w:pPr>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77777777" w:rsidR="00DF01DF" w:rsidRDefault="00DF01DF" w:rsidP="00DF01D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12AB0322" w14:textId="77777777" w:rsidR="00DF01DF" w:rsidRPr="000E1A16" w:rsidRDefault="00DF01DF" w:rsidP="00DF01DF">
      <w:pPr>
        <w:ind w:left="720" w:firstLine="300"/>
        <w:rPr>
          <w:rFonts w:ascii="Times New Roman" w:hAnsi="Times New Roman" w:cs="Times New Roman"/>
          <w:sz w:val="20"/>
          <w:szCs w:val="20"/>
        </w:rPr>
      </w:pPr>
      <w:r>
        <w:rPr>
          <w:rFonts w:ascii="Times New Roman" w:hAnsi="Times New Roman" w:cs="Times New Roman"/>
          <w:b/>
          <w:bCs/>
          <w:color w:val="FF0000"/>
          <w:sz w:val="20"/>
          <w:szCs w:val="20"/>
        </w:rPr>
        <w:t xml:space="preserve">If someone can talk about the sensors we might use. (Probably </w:t>
      </w:r>
      <w:proofErr w:type="spellStart"/>
      <w:r>
        <w:rPr>
          <w:rFonts w:ascii="Times New Roman" w:hAnsi="Times New Roman" w:cs="Times New Roman"/>
          <w:b/>
          <w:bCs/>
          <w:color w:val="FF0000"/>
          <w:sz w:val="20"/>
          <w:szCs w:val="20"/>
        </w:rPr>
        <w:t>Sigg</w:t>
      </w:r>
      <w:proofErr w:type="spellEnd"/>
      <w:r>
        <w:rPr>
          <w:rFonts w:ascii="Times New Roman" w:hAnsi="Times New Roman" w:cs="Times New Roman"/>
          <w:b/>
          <w:bCs/>
          <w:color w:val="FF0000"/>
          <w:sz w:val="20"/>
          <w:szCs w:val="20"/>
        </w:rPr>
        <w:t>). Discuss why we might use the sensors in comparison to other alternatives</w:t>
      </w:r>
      <w:r>
        <w:rPr>
          <w:rFonts w:ascii="Times New Roman" w:hAnsi="Times New Roman" w:cs="Times New Roman"/>
          <w:sz w:val="20"/>
          <w:szCs w:val="20"/>
        </w:rPr>
        <w:t>.</w:t>
      </w:r>
    </w:p>
    <w:p w14:paraId="45A3F243" w14:textId="77777777" w:rsidR="00DF01DF" w:rsidRPr="00C40E67" w:rsidRDefault="00DF01DF" w:rsidP="00DF01DF">
      <w:pPr>
        <w:pStyle w:val="Heading2"/>
        <w:rPr>
          <w:color w:val="FF0000"/>
        </w:rPr>
      </w:pPr>
      <w:r>
        <w:t>Power Supply</w:t>
      </w:r>
    </w:p>
    <w:p w14:paraId="3D91D60C" w14:textId="03CE1B57" w:rsidR="00DF01DF" w:rsidRDefault="00DF01DF" w:rsidP="00DF01DF">
      <w:pPr>
        <w:pStyle w:val="BodyText"/>
        <w:rPr>
          <w:b/>
          <w:bCs/>
          <w:color w:val="FF0000"/>
          <w:lang w:val="en-US"/>
        </w:rPr>
      </w:pPr>
      <w:r w:rsidRPr="0093730C">
        <w:rPr>
          <w:b/>
          <w:bCs/>
          <w:color w:val="FF0000"/>
          <w:lang w:val="en-US"/>
        </w:rPr>
        <w:t xml:space="preserve">Discuss how the power supply will feed from the wall outlet </w:t>
      </w:r>
      <w:r>
        <w:rPr>
          <w:b/>
          <w:bCs/>
          <w:color w:val="FF0000"/>
          <w:lang w:val="en-US"/>
        </w:rPr>
        <w:t>to (1) the PLC and (2) to the AC/DC converter in order to be used by the MCU. Be sure to include inputs/outputs for every subsystem.</w:t>
      </w:r>
    </w:p>
    <w:p w14:paraId="14FB899D" w14:textId="77777777" w:rsidR="00DF01DF" w:rsidRDefault="00DF01DF" w:rsidP="00DF01DF">
      <w:pPr>
        <w:pStyle w:val="BodyText"/>
        <w:rPr>
          <w:lang w:val="en-US"/>
        </w:rPr>
      </w:pPr>
    </w:p>
    <w:p w14:paraId="1ECD5ECE" w14:textId="77777777" w:rsidR="00DF01DF" w:rsidRDefault="00DF01DF" w:rsidP="00DF01DF">
      <w:pPr>
        <w:pStyle w:val="BodyText"/>
        <w:rPr>
          <w:i/>
          <w:iCs/>
          <w:lang w:val="en-US"/>
        </w:rPr>
      </w:pPr>
      <w:r>
        <w:rPr>
          <w:i/>
          <w:iCs/>
          <w:lang w:val="en-US"/>
        </w:rPr>
        <w:lastRenderedPageBreak/>
        <w:t>a) AC/DC Converter</w:t>
      </w:r>
    </w:p>
    <w:p w14:paraId="47BAD383" w14:textId="77777777" w:rsidR="00DF01DF" w:rsidRDefault="00DF01DF" w:rsidP="00DF01DF">
      <w:pPr>
        <w:pStyle w:val="BodyText"/>
        <w:ind w:left="288" w:firstLine="0"/>
        <w:rPr>
          <w:lang w:val="en-US"/>
        </w:rPr>
      </w:pPr>
      <w:r>
        <w:rPr>
          <w:i/>
          <w:iCs/>
          <w:lang w:val="en-US"/>
        </w:rPr>
        <w:tab/>
      </w:r>
      <w:r>
        <w:rPr>
          <w:b/>
          <w:bCs/>
          <w:color w:val="FF0000"/>
          <w:lang w:val="en-US"/>
        </w:rPr>
        <w:t>Discuss how the outlet voltage needs to be converted to DC and then stepped down in order to be used by the MCU and the solenoid locks.</w:t>
      </w:r>
    </w:p>
    <w:p w14:paraId="655117C9" w14:textId="77777777" w:rsidR="00DF01DF" w:rsidRDefault="00DF01DF" w:rsidP="00DF01DF">
      <w:pPr>
        <w:pStyle w:val="Heading2"/>
      </w:pPr>
      <w:r>
        <w:t>Barcode Scanner</w:t>
      </w:r>
    </w:p>
    <w:p w14:paraId="730A79FF" w14:textId="77777777" w:rsidR="00DF01DF" w:rsidRPr="0093730C" w:rsidRDefault="00DF01DF" w:rsidP="00DF01DF">
      <w:pPr>
        <w:ind w:left="288"/>
        <w:rPr>
          <w:rFonts w:ascii="Times New Roman" w:hAnsi="Times New Roman" w:cs="Times New Roman"/>
          <w:sz w:val="20"/>
          <w:szCs w:val="20"/>
        </w:rPr>
      </w:pPr>
      <w:r>
        <w:rPr>
          <w:rFonts w:ascii="Times New Roman" w:hAnsi="Times New Roman" w:cs="Times New Roman"/>
          <w:b/>
          <w:bCs/>
          <w:color w:val="FF0000"/>
          <w:sz w:val="20"/>
          <w:szCs w:val="20"/>
        </w:rPr>
        <w:t>Not much to explain here, no need for a subsystem. But discuss what it will do and give its inputs and outputs</w:t>
      </w:r>
      <w:r>
        <w:rPr>
          <w:rFonts w:ascii="Times New Roman" w:hAnsi="Times New Roman" w:cs="Times New Roman"/>
          <w:color w:val="FF0000"/>
          <w:sz w:val="20"/>
          <w:szCs w:val="20"/>
        </w:rPr>
        <w:t>.</w:t>
      </w:r>
    </w:p>
    <w:p w14:paraId="1552C16D" w14:textId="77777777" w:rsidR="00981158" w:rsidRPr="00C40E67" w:rsidRDefault="00981158" w:rsidP="00981158">
      <w:pPr>
        <w:pStyle w:val="Heading1"/>
        <w:rPr>
          <w:color w:val="FF0000"/>
        </w:rPr>
      </w:pPr>
      <w:r w:rsidRPr="00C40E67">
        <w:rPr>
          <w:color w:val="FF0000"/>
        </w:rPr>
        <w:t>Design And Implementation</w:t>
      </w:r>
    </w:p>
    <w:p w14:paraId="22D33C7B" w14:textId="77777777" w:rsidR="00981158" w:rsidRDefault="00981158" w:rsidP="00981158">
      <w:pPr>
        <w:pStyle w:val="BodyText"/>
        <w:rPr>
          <w:color w:val="FF0000"/>
        </w:rPr>
      </w:pPr>
      <w:r w:rsidRPr="00994D81">
        <w:rPr>
          <w:color w:val="FF0000"/>
        </w:rPr>
        <w:t>The following design for a class kit vending machine is suggested in order to address the drawbacks of the current approach and to offer a solution that is both affordable and user-friendly. The project's primary components—the power supply, the card reader, the motor driver, and the LCD—are shown in Fig. 1 as being composed of five elements.</w:t>
      </w:r>
    </w:p>
    <w:p w14:paraId="1CC3F1E9" w14:textId="77777777" w:rsidR="00981158" w:rsidRPr="00C40E67" w:rsidRDefault="00981158" w:rsidP="00981158">
      <w:pPr>
        <w:pStyle w:val="BodyText"/>
        <w:rPr>
          <w:color w:val="FF0000"/>
        </w:rPr>
      </w:pPr>
      <w:r w:rsidRPr="00C40E67">
        <w:rPr>
          <w:noProof/>
          <w:color w:val="FF0000"/>
        </w:rPr>
        <w:drawing>
          <wp:inline distT="0" distB="0" distL="0" distR="0" wp14:anchorId="06DC296E" wp14:editId="472E07B3">
            <wp:extent cx="3089910" cy="25258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2525879"/>
                    </a:xfrm>
                    <a:prstGeom prst="rect">
                      <a:avLst/>
                    </a:prstGeom>
                  </pic:spPr>
                </pic:pic>
              </a:graphicData>
            </a:graphic>
          </wp:inline>
        </w:drawing>
      </w:r>
    </w:p>
    <w:p w14:paraId="2424261A" w14:textId="77777777" w:rsidR="00981158" w:rsidRPr="00C40E67" w:rsidRDefault="00981158" w:rsidP="00981158">
      <w:pPr>
        <w:pStyle w:val="BodyText"/>
        <w:ind w:firstLine="0"/>
        <w:jc w:val="center"/>
        <w:rPr>
          <w:i/>
          <w:iCs/>
          <w:color w:val="FF0000"/>
          <w:lang w:val="en-US"/>
        </w:rPr>
      </w:pPr>
      <w:r w:rsidRPr="00C40E67">
        <w:rPr>
          <w:i/>
          <w:iCs/>
          <w:color w:val="FF0000"/>
          <w:lang w:val="en-US"/>
        </w:rPr>
        <w:t>Figure 1: Overall Design of Machine</w:t>
      </w:r>
    </w:p>
    <w:p w14:paraId="19D67E9A" w14:textId="77777777" w:rsidR="00981158" w:rsidRPr="00C40E67" w:rsidRDefault="00981158" w:rsidP="00981158">
      <w:pPr>
        <w:pStyle w:val="BodyText"/>
        <w:rPr>
          <w:color w:val="FF0000"/>
          <w:lang w:val="en-US"/>
        </w:rPr>
      </w:pPr>
      <w:r w:rsidRPr="00C40E67">
        <w:rPr>
          <w:color w:val="FF0000"/>
          <w:lang w:val="en-US"/>
        </w:rPr>
        <w:t xml:space="preserve">In order to understand the overall </w:t>
      </w:r>
      <w:proofErr w:type="gramStart"/>
      <w:r w:rsidRPr="00C40E67">
        <w:rPr>
          <w:color w:val="FF0000"/>
          <w:lang w:val="en-US"/>
        </w:rPr>
        <w:t>design</w:t>
      </w:r>
      <w:proofErr w:type="gramEnd"/>
      <w:r w:rsidRPr="00C40E67">
        <w:rPr>
          <w:color w:val="FF0000"/>
          <w:lang w:val="en-US"/>
        </w:rPr>
        <w:t xml:space="preserve"> the process must be acknowledged first. The process would be very simple. A student would walk into the office </w:t>
      </w:r>
      <w:proofErr w:type="gramStart"/>
      <w:r w:rsidRPr="00C40E67">
        <w:rPr>
          <w:color w:val="FF0000"/>
          <w:lang w:val="en-US"/>
        </w:rPr>
        <w:t>of  Electrical</w:t>
      </w:r>
      <w:proofErr w:type="gramEnd"/>
      <w:r w:rsidRPr="00C40E67">
        <w:rPr>
          <w:color w:val="FF0000"/>
          <w:lang w:val="en-US"/>
        </w:rPr>
        <w:t xml:space="preserve"> and Computer Engineering and using the Eagle Card he/she would tap on the reader and after verifying the information the student then will choose the required board from the given set of choices on LCD and after doing so one of the drawers would pop open and with the help of LEDs the student would grab the needed board and close the drawer as shown in figure 2.</w:t>
      </w:r>
    </w:p>
    <w:p w14:paraId="54C3948A" w14:textId="77777777" w:rsidR="00981158" w:rsidRPr="00994D81" w:rsidRDefault="00981158" w:rsidP="00981158">
      <w:pPr>
        <w:pStyle w:val="BodyText"/>
        <w:rPr>
          <w:lang w:val="en-US"/>
        </w:rPr>
      </w:pPr>
      <w:r w:rsidRPr="00C40E67">
        <w:rPr>
          <w:noProof/>
          <w:lang w:val="en-US"/>
        </w:rPr>
        <w:drawing>
          <wp:inline distT="0" distB="0" distL="0" distR="0" wp14:anchorId="4BEA3458" wp14:editId="72E6F765">
            <wp:extent cx="308991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3721100"/>
                    </a:xfrm>
                    <a:prstGeom prst="rect">
                      <a:avLst/>
                    </a:prstGeom>
                    <a:noFill/>
                    <a:ln>
                      <a:noFill/>
                    </a:ln>
                  </pic:spPr>
                </pic:pic>
              </a:graphicData>
            </a:graphic>
          </wp:inline>
        </w:drawing>
      </w:r>
    </w:p>
    <w:p w14:paraId="6E264D9E" w14:textId="77777777" w:rsidR="00981158" w:rsidRPr="00C40E67" w:rsidRDefault="00981158" w:rsidP="00981158">
      <w:pPr>
        <w:pStyle w:val="BodyText"/>
        <w:ind w:firstLine="0"/>
        <w:jc w:val="center"/>
        <w:rPr>
          <w:i/>
          <w:iCs/>
          <w:color w:val="FF0000"/>
          <w:lang w:val="en-US"/>
        </w:rPr>
      </w:pPr>
      <w:r w:rsidRPr="00C40E67">
        <w:rPr>
          <w:i/>
          <w:iCs/>
          <w:color w:val="FF0000"/>
          <w:lang w:val="en-US"/>
        </w:rPr>
        <w:t xml:space="preserve">Figure </w:t>
      </w:r>
      <w:r>
        <w:rPr>
          <w:i/>
          <w:iCs/>
          <w:color w:val="FF0000"/>
          <w:lang w:val="en-US"/>
        </w:rPr>
        <w:t>2</w:t>
      </w:r>
      <w:r w:rsidRPr="00C40E67">
        <w:rPr>
          <w:i/>
          <w:iCs/>
          <w:color w:val="FF0000"/>
          <w:lang w:val="en-US"/>
        </w:rPr>
        <w:t xml:space="preserve">: </w:t>
      </w:r>
      <w:r>
        <w:rPr>
          <w:i/>
          <w:iCs/>
          <w:color w:val="FF0000"/>
          <w:lang w:val="en-US"/>
        </w:rPr>
        <w:t>Design Flow</w:t>
      </w:r>
      <w:r w:rsidRPr="00C40E67">
        <w:rPr>
          <w:i/>
          <w:iCs/>
          <w:color w:val="FF0000"/>
          <w:lang w:val="en-US"/>
        </w:rPr>
        <w:t xml:space="preserve"> of Machine</w:t>
      </w:r>
    </w:p>
    <w:p w14:paraId="4E7C9E48" w14:textId="77777777" w:rsidR="00981158" w:rsidRPr="005B520E" w:rsidRDefault="00981158" w:rsidP="00981158">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DD121FA" w14:textId="77777777" w:rsidR="00981158" w:rsidRDefault="00981158" w:rsidP="00981158">
      <w:pPr>
        <w:pStyle w:val="Heading2"/>
      </w:pPr>
      <w:r w:rsidRPr="00ED0149">
        <w:t>Abbreviations</w:t>
      </w:r>
      <w:r>
        <w:t xml:space="preserve"> and Acronyms</w:t>
      </w:r>
    </w:p>
    <w:p w14:paraId="7B1123EC" w14:textId="77777777" w:rsidR="00981158" w:rsidRPr="005B520E" w:rsidRDefault="00981158" w:rsidP="00981158">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B9C0619" w14:textId="77777777" w:rsidR="00981158" w:rsidRDefault="00981158" w:rsidP="00981158">
      <w:pPr>
        <w:pStyle w:val="Heading2"/>
      </w:pPr>
      <w:r>
        <w:t>Units</w:t>
      </w:r>
    </w:p>
    <w:p w14:paraId="0BA2E68B" w14:textId="77777777" w:rsidR="00981158" w:rsidRPr="005B520E" w:rsidRDefault="00981158" w:rsidP="00981158">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37326D6" w14:textId="77777777" w:rsidR="00981158" w:rsidRPr="005B520E" w:rsidRDefault="00981158" w:rsidP="00981158">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3A58607" w14:textId="77777777" w:rsidR="00981158" w:rsidRPr="005B520E" w:rsidRDefault="00981158" w:rsidP="00981158">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013B3C7" w14:textId="77777777" w:rsidR="00981158" w:rsidRDefault="00981158" w:rsidP="00981158">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EE4AF3B" w14:textId="77777777" w:rsidR="00981158" w:rsidRPr="005B520E" w:rsidRDefault="00981158" w:rsidP="00981158">
      <w:pPr>
        <w:pStyle w:val="bulletlist"/>
      </w:pPr>
      <w:r w:rsidRPr="005B520E">
        <w:t xml:space="preserve">Use a zero before decimal points: “0.25”, not “.25”. Use “cm3”, not “cc”. </w:t>
      </w:r>
      <w:r w:rsidRPr="007C0308">
        <w:t>(</w:t>
      </w:r>
      <w:r w:rsidRPr="005B0344">
        <w:rPr>
          <w:i/>
          <w:iCs/>
        </w:rPr>
        <w:t>bullet list</w:t>
      </w:r>
      <w:r w:rsidRPr="007C0308">
        <w:t>)</w:t>
      </w:r>
    </w:p>
    <w:p w14:paraId="262377C0" w14:textId="77777777" w:rsidR="00981158" w:rsidRPr="005B520E" w:rsidRDefault="00981158" w:rsidP="00981158">
      <w:pPr>
        <w:pStyle w:val="Heading2"/>
      </w:pPr>
      <w:r w:rsidRPr="005B520E">
        <w:t>Equations</w:t>
      </w:r>
    </w:p>
    <w:p w14:paraId="39B5CA68" w14:textId="77777777" w:rsidR="00981158" w:rsidRPr="005B520E" w:rsidRDefault="00981158" w:rsidP="00981158">
      <w:pPr>
        <w:pStyle w:val="BodyText"/>
      </w:pPr>
      <w:r w:rsidRPr="005B520E">
        <w:t xml:space="preserve">The equations are an exception to the prescribed specifications of this template. You will need to determine </w:t>
      </w:r>
      <w:r w:rsidRPr="005B520E">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E22C077" w14:textId="77777777" w:rsidR="00981158" w:rsidRPr="00D7522C" w:rsidRDefault="00981158" w:rsidP="00981158">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663E500C" w14:textId="77777777" w:rsidR="00981158" w:rsidRPr="005B520E" w:rsidRDefault="00981158" w:rsidP="00981158">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F91CCC0" w14:textId="77777777" w:rsidR="00981158" w:rsidRDefault="00981158" w:rsidP="00981158">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68CD46" w14:textId="77777777" w:rsidR="00981158" w:rsidRDefault="00981158" w:rsidP="00981158">
      <w:pPr>
        <w:pStyle w:val="Heading2"/>
      </w:pPr>
      <w:r>
        <w:t>Some Common Mistakes</w:t>
      </w:r>
    </w:p>
    <w:p w14:paraId="2A97C315" w14:textId="77777777" w:rsidR="00981158" w:rsidRPr="005B520E" w:rsidRDefault="00981158" w:rsidP="00981158">
      <w:pPr>
        <w:pStyle w:val="bulletlist"/>
      </w:pPr>
      <w:r w:rsidRPr="005B520E">
        <w:t>The word “data” is plural, not singular.</w:t>
      </w:r>
    </w:p>
    <w:p w14:paraId="1B23CF81" w14:textId="77777777" w:rsidR="00981158" w:rsidRPr="005B520E" w:rsidRDefault="00981158" w:rsidP="00981158">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7DC374B" w14:textId="77777777" w:rsidR="00981158" w:rsidRPr="005B520E" w:rsidRDefault="00981158" w:rsidP="00981158">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21142" w14:textId="77777777" w:rsidR="00981158" w:rsidRPr="005B520E" w:rsidRDefault="00981158" w:rsidP="00981158">
      <w:pPr>
        <w:pStyle w:val="bulletlist"/>
      </w:pPr>
      <w:r w:rsidRPr="005B520E">
        <w:t>A graph within a graph is an “inset”, not an “insert”. The word alternatively is preferred to the word “alternately” (unless you really mean something that alternates).</w:t>
      </w:r>
    </w:p>
    <w:p w14:paraId="0F9D0917" w14:textId="77777777" w:rsidR="00981158" w:rsidRPr="005B520E" w:rsidRDefault="00981158" w:rsidP="00981158">
      <w:pPr>
        <w:pStyle w:val="bulletlist"/>
      </w:pPr>
      <w:r w:rsidRPr="005B520E">
        <w:t>Do not use the word “essentially” to mean “approximately” or “effectively”.</w:t>
      </w:r>
    </w:p>
    <w:p w14:paraId="1672715A" w14:textId="77777777" w:rsidR="00981158" w:rsidRPr="005B520E" w:rsidRDefault="00981158" w:rsidP="00981158">
      <w:pPr>
        <w:pStyle w:val="bulletlist"/>
      </w:pPr>
      <w:r w:rsidRPr="005B520E">
        <w:t>In your paper title, if the words “that uses” can accurately replace the word “using”, capitalize the “u”; if not, keep using lower-cased.</w:t>
      </w:r>
    </w:p>
    <w:p w14:paraId="3F7353CD" w14:textId="77777777" w:rsidR="00981158" w:rsidRPr="005B520E" w:rsidRDefault="00981158" w:rsidP="00981158">
      <w:pPr>
        <w:pStyle w:val="bulletlist"/>
      </w:pPr>
      <w:r w:rsidRPr="005B520E">
        <w:t>Be aware of the different meanings of the homophones “affect” and “effect”, “complement” and “compliment”, “discreet” and “discrete”, “principal” and “principle”.</w:t>
      </w:r>
    </w:p>
    <w:p w14:paraId="4662AB9A" w14:textId="77777777" w:rsidR="00981158" w:rsidRPr="005B520E" w:rsidRDefault="00981158" w:rsidP="00981158">
      <w:pPr>
        <w:pStyle w:val="bulletlist"/>
      </w:pPr>
      <w:r w:rsidRPr="005B520E">
        <w:t>Do not confuse “imply” and “infer”.</w:t>
      </w:r>
    </w:p>
    <w:p w14:paraId="525DFB66" w14:textId="77777777" w:rsidR="00981158" w:rsidRPr="005B520E" w:rsidRDefault="00981158" w:rsidP="00981158">
      <w:pPr>
        <w:pStyle w:val="bulletlist"/>
      </w:pPr>
      <w:r w:rsidRPr="005B520E">
        <w:t>The prefix “non” is not a word; it should be joined to the word it modifies, usually without a hyphen.</w:t>
      </w:r>
    </w:p>
    <w:p w14:paraId="7A826AB1" w14:textId="77777777" w:rsidR="00981158" w:rsidRPr="005B520E" w:rsidRDefault="00981158" w:rsidP="00981158">
      <w:pPr>
        <w:pStyle w:val="bulletlist"/>
      </w:pPr>
      <w:r w:rsidRPr="005B520E">
        <w:t>There is no period after the “et” in the Latin abbreviation “et al.”.</w:t>
      </w:r>
    </w:p>
    <w:p w14:paraId="7844050E" w14:textId="77777777" w:rsidR="00981158" w:rsidRPr="005B520E" w:rsidRDefault="00981158" w:rsidP="00981158">
      <w:pPr>
        <w:pStyle w:val="bulletlist"/>
      </w:pPr>
      <w:r w:rsidRPr="005B520E">
        <w:t>The abbreviation “i.e.” means “that is”, and the abbreviation “e.g.” means “for example”.</w:t>
      </w:r>
    </w:p>
    <w:p w14:paraId="6482D48F" w14:textId="77777777" w:rsidR="00981158" w:rsidRPr="005B520E" w:rsidRDefault="00981158" w:rsidP="00981158">
      <w:pPr>
        <w:pStyle w:val="BodyText"/>
      </w:pPr>
      <w:r w:rsidRPr="005B520E">
        <w:t>An excellent style manual for science writers is [7].</w:t>
      </w:r>
    </w:p>
    <w:p w14:paraId="0A215023" w14:textId="77777777" w:rsidR="00981158" w:rsidRDefault="00981158" w:rsidP="00981158">
      <w:pPr>
        <w:pStyle w:val="Heading1"/>
      </w:pPr>
      <w:r>
        <w:t xml:space="preserve">Using the </w:t>
      </w:r>
      <w:r w:rsidRPr="005B520E">
        <w:t>Template</w:t>
      </w:r>
    </w:p>
    <w:p w14:paraId="3B0C0E8E" w14:textId="77777777" w:rsidR="00981158" w:rsidRPr="005B520E" w:rsidRDefault="00981158" w:rsidP="00981158">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972E22" w14:textId="77777777" w:rsidR="00981158" w:rsidRDefault="00981158" w:rsidP="00981158">
      <w:pPr>
        <w:pStyle w:val="Heading2"/>
      </w:pPr>
      <w:r w:rsidRPr="005B520E">
        <w:t>Authors</w:t>
      </w:r>
      <w:r>
        <w:t xml:space="preserve"> and Affiliations</w:t>
      </w:r>
    </w:p>
    <w:p w14:paraId="3AD1B24E" w14:textId="77777777" w:rsidR="00981158" w:rsidRPr="005B520E" w:rsidRDefault="00981158" w:rsidP="00981158">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19B24004" w14:textId="77777777" w:rsidR="00981158" w:rsidRDefault="00981158" w:rsidP="00981158">
      <w:pPr>
        <w:pStyle w:val="Heading3"/>
      </w:pPr>
      <w:r>
        <w:t xml:space="preserve">For papers with more than six authors: </w:t>
      </w:r>
      <w:r>
        <w:rPr>
          <w:i w:val="0"/>
        </w:rPr>
        <w:t>Add author names horizontally, moving to a third row if needed for more than 8 authors.</w:t>
      </w:r>
    </w:p>
    <w:p w14:paraId="664E9F96" w14:textId="77777777" w:rsidR="00981158" w:rsidRPr="005B520E" w:rsidRDefault="00981158" w:rsidP="00981158">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714D17EE" w14:textId="77777777" w:rsidR="00981158" w:rsidRPr="005B520E" w:rsidRDefault="00981158" w:rsidP="00981158">
      <w:pPr>
        <w:pStyle w:val="Heading4"/>
      </w:pPr>
      <w:r w:rsidRPr="00794804">
        <w:t>Selection</w:t>
      </w:r>
      <w:r w:rsidRPr="005B520E">
        <w:t xml:space="preserve">: </w:t>
      </w:r>
      <w:r w:rsidRPr="00FA4C32">
        <w:rPr>
          <w:i w:val="0"/>
        </w:rPr>
        <w:t>Highlight all author and affiliation lines.</w:t>
      </w:r>
    </w:p>
    <w:p w14:paraId="359BE884" w14:textId="77777777" w:rsidR="00981158" w:rsidRPr="005B520E" w:rsidRDefault="00981158" w:rsidP="00981158">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933EEE3" w14:textId="77777777" w:rsidR="00981158" w:rsidRDefault="00981158" w:rsidP="00981158">
      <w:pPr>
        <w:pStyle w:val="Heading4"/>
        <w:rPr>
          <w:i w:val="0"/>
        </w:rPr>
      </w:pPr>
      <w:r w:rsidRPr="005B520E">
        <w:t xml:space="preserve">Deletion: </w:t>
      </w:r>
      <w:r w:rsidRPr="00FA4C32">
        <w:rPr>
          <w:i w:val="0"/>
        </w:rPr>
        <w:t xml:space="preserve">Delete the author and affiliation lines for the </w:t>
      </w:r>
      <w:r>
        <w:rPr>
          <w:i w:val="0"/>
        </w:rPr>
        <w:t>extra authors.</w:t>
      </w:r>
    </w:p>
    <w:p w14:paraId="186059A0" w14:textId="77777777" w:rsidR="00981158" w:rsidRDefault="00981158" w:rsidP="00981158">
      <w:pPr>
        <w:rPr>
          <w:i/>
          <w:iCs/>
          <w:noProof/>
        </w:rPr>
      </w:pPr>
    </w:p>
    <w:p w14:paraId="435B1CD3" w14:textId="77777777" w:rsidR="00981158" w:rsidRDefault="00981158" w:rsidP="00981158">
      <w:pPr>
        <w:pStyle w:val="Heading2"/>
      </w:pPr>
      <w:r w:rsidRPr="005B520E">
        <w:t>Identify</w:t>
      </w:r>
      <w:r>
        <w:t xml:space="preserve"> the Headings</w:t>
      </w:r>
    </w:p>
    <w:p w14:paraId="196DB25B" w14:textId="77777777" w:rsidR="00981158" w:rsidRPr="005B520E" w:rsidRDefault="00981158" w:rsidP="00981158">
      <w:pPr>
        <w:pStyle w:val="BodyText"/>
      </w:pPr>
      <w:r w:rsidRPr="005B520E">
        <w:t>Headings, or heads, are organizational devices that guide the reader through your paper. There are two types: component heads and text heads.</w:t>
      </w:r>
    </w:p>
    <w:p w14:paraId="20600F86" w14:textId="77777777" w:rsidR="00981158" w:rsidRPr="005B520E" w:rsidRDefault="00981158" w:rsidP="00981158">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403F94" w14:textId="77777777" w:rsidR="00981158" w:rsidRPr="005B520E" w:rsidRDefault="00981158" w:rsidP="00981158">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BD3D792" w14:textId="77777777" w:rsidR="00981158" w:rsidRDefault="00981158" w:rsidP="00981158">
      <w:pPr>
        <w:pStyle w:val="Heading2"/>
      </w:pPr>
      <w:r>
        <w:t>Figures and Tables</w:t>
      </w:r>
    </w:p>
    <w:p w14:paraId="6901EED4" w14:textId="77777777" w:rsidR="00981158" w:rsidRDefault="00981158" w:rsidP="00981158">
      <w:pPr>
        <w:pStyle w:val="Heading4"/>
      </w:pPr>
      <w:r>
        <w:t xml:space="preserve"> </w:t>
      </w:r>
      <w:r w:rsidRPr="005B520E">
        <w:t xml:space="preserve">Positioning Figures and Tables: </w:t>
      </w:r>
      <w:r w:rsidRPr="00FA4C32">
        <w:rPr>
          <w:i w:val="0"/>
        </w:rPr>
        <w:t xml:space="preserve">Place figures and tables at the top and bottom of columns. Avoid placing them in the middle of columns. Large figures and tables may span </w:t>
      </w:r>
      <w:r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0A341F59" w14:textId="77777777" w:rsidR="00981158" w:rsidRPr="005B520E" w:rsidRDefault="00981158" w:rsidP="00981158">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81158" w14:paraId="7BB99843" w14:textId="77777777" w:rsidTr="001160DF">
        <w:trPr>
          <w:cantSplit/>
          <w:trHeight w:val="240"/>
          <w:tblHeader/>
          <w:jc w:val="center"/>
        </w:trPr>
        <w:tc>
          <w:tcPr>
            <w:tcW w:w="720" w:type="dxa"/>
            <w:vMerge w:val="restart"/>
            <w:vAlign w:val="center"/>
          </w:tcPr>
          <w:p w14:paraId="0CA35521" w14:textId="77777777" w:rsidR="00981158" w:rsidRDefault="00981158" w:rsidP="001160DF">
            <w:pPr>
              <w:pStyle w:val="tablecolhead"/>
            </w:pPr>
            <w:r>
              <w:t>Table Head</w:t>
            </w:r>
          </w:p>
        </w:tc>
        <w:tc>
          <w:tcPr>
            <w:tcW w:w="4140" w:type="dxa"/>
            <w:gridSpan w:val="3"/>
            <w:vAlign w:val="center"/>
          </w:tcPr>
          <w:p w14:paraId="71058483" w14:textId="77777777" w:rsidR="00981158" w:rsidRDefault="00981158" w:rsidP="001160DF">
            <w:pPr>
              <w:pStyle w:val="tablecolhead"/>
            </w:pPr>
            <w:r>
              <w:t>Table Column Head</w:t>
            </w:r>
          </w:p>
        </w:tc>
      </w:tr>
      <w:tr w:rsidR="00981158" w14:paraId="65A765CB" w14:textId="77777777" w:rsidTr="001160DF">
        <w:trPr>
          <w:cantSplit/>
          <w:trHeight w:val="240"/>
          <w:tblHeader/>
          <w:jc w:val="center"/>
        </w:trPr>
        <w:tc>
          <w:tcPr>
            <w:tcW w:w="720" w:type="dxa"/>
            <w:vMerge/>
          </w:tcPr>
          <w:p w14:paraId="1A133A27" w14:textId="77777777" w:rsidR="00981158" w:rsidRDefault="00981158" w:rsidP="001160DF">
            <w:pPr>
              <w:rPr>
                <w:sz w:val="16"/>
                <w:szCs w:val="16"/>
              </w:rPr>
            </w:pPr>
          </w:p>
        </w:tc>
        <w:tc>
          <w:tcPr>
            <w:tcW w:w="2340" w:type="dxa"/>
            <w:vAlign w:val="center"/>
          </w:tcPr>
          <w:p w14:paraId="6EAAAEBA" w14:textId="77777777" w:rsidR="00981158" w:rsidRDefault="00981158" w:rsidP="001160DF">
            <w:pPr>
              <w:pStyle w:val="tablecolsubhead"/>
            </w:pPr>
            <w:r>
              <w:t>Table column subhead</w:t>
            </w:r>
          </w:p>
        </w:tc>
        <w:tc>
          <w:tcPr>
            <w:tcW w:w="900" w:type="dxa"/>
            <w:vAlign w:val="center"/>
          </w:tcPr>
          <w:p w14:paraId="24FDF721" w14:textId="77777777" w:rsidR="00981158" w:rsidRDefault="00981158" w:rsidP="001160DF">
            <w:pPr>
              <w:pStyle w:val="tablecolsubhead"/>
            </w:pPr>
            <w:r>
              <w:t>Subhead</w:t>
            </w:r>
          </w:p>
        </w:tc>
        <w:tc>
          <w:tcPr>
            <w:tcW w:w="900" w:type="dxa"/>
            <w:vAlign w:val="center"/>
          </w:tcPr>
          <w:p w14:paraId="3DFE73A5" w14:textId="77777777" w:rsidR="00981158" w:rsidRDefault="00981158" w:rsidP="001160DF">
            <w:pPr>
              <w:pStyle w:val="tablecolsubhead"/>
            </w:pPr>
            <w:r>
              <w:t>Subhead</w:t>
            </w:r>
          </w:p>
        </w:tc>
      </w:tr>
      <w:tr w:rsidR="00981158" w14:paraId="6E9E4B68" w14:textId="77777777" w:rsidTr="001160DF">
        <w:trPr>
          <w:trHeight w:val="320"/>
          <w:jc w:val="center"/>
        </w:trPr>
        <w:tc>
          <w:tcPr>
            <w:tcW w:w="720" w:type="dxa"/>
            <w:vAlign w:val="center"/>
          </w:tcPr>
          <w:p w14:paraId="61F90951" w14:textId="77777777" w:rsidR="00981158" w:rsidRDefault="00981158" w:rsidP="001160DF">
            <w:pPr>
              <w:pStyle w:val="tablecopy"/>
              <w:rPr>
                <w:sz w:val="8"/>
                <w:szCs w:val="8"/>
              </w:rPr>
            </w:pPr>
            <w:r>
              <w:t>copy</w:t>
            </w:r>
          </w:p>
        </w:tc>
        <w:tc>
          <w:tcPr>
            <w:tcW w:w="2340" w:type="dxa"/>
            <w:vAlign w:val="center"/>
          </w:tcPr>
          <w:p w14:paraId="29E749D6" w14:textId="77777777" w:rsidR="00981158" w:rsidRDefault="00981158" w:rsidP="001160DF">
            <w:pPr>
              <w:pStyle w:val="tablecopy"/>
            </w:pPr>
            <w:r>
              <w:t>More table copy</w:t>
            </w:r>
            <w:r>
              <w:rPr>
                <w:vertAlign w:val="superscript"/>
              </w:rPr>
              <w:t>a</w:t>
            </w:r>
          </w:p>
        </w:tc>
        <w:tc>
          <w:tcPr>
            <w:tcW w:w="900" w:type="dxa"/>
            <w:vAlign w:val="center"/>
          </w:tcPr>
          <w:p w14:paraId="29084F51" w14:textId="77777777" w:rsidR="00981158" w:rsidRDefault="00981158" w:rsidP="001160DF">
            <w:pPr>
              <w:rPr>
                <w:sz w:val="16"/>
                <w:szCs w:val="16"/>
              </w:rPr>
            </w:pPr>
          </w:p>
        </w:tc>
        <w:tc>
          <w:tcPr>
            <w:tcW w:w="900" w:type="dxa"/>
            <w:vAlign w:val="center"/>
          </w:tcPr>
          <w:p w14:paraId="3ED78F39" w14:textId="77777777" w:rsidR="00981158" w:rsidRDefault="00981158" w:rsidP="001160DF">
            <w:pPr>
              <w:rPr>
                <w:sz w:val="16"/>
                <w:szCs w:val="16"/>
              </w:rPr>
            </w:pPr>
          </w:p>
        </w:tc>
      </w:tr>
    </w:tbl>
    <w:p w14:paraId="49BFBC7B" w14:textId="77777777" w:rsidR="00981158" w:rsidRPr="005B520E" w:rsidRDefault="00981158" w:rsidP="0098115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BAEA382" w14:textId="77777777" w:rsidR="00981158" w:rsidRDefault="00981158" w:rsidP="00981158">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C3907C" w14:textId="77777777" w:rsidR="00981158" w:rsidRPr="005B520E" w:rsidRDefault="00981158" w:rsidP="00981158">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A8AD238" w14:textId="77777777" w:rsidR="00981158" w:rsidRDefault="00981158" w:rsidP="00981158">
      <w:pPr>
        <w:pStyle w:val="Heading5"/>
      </w:pPr>
      <w:r w:rsidRPr="005B520E">
        <w:t>Acknowledgment</w:t>
      </w:r>
      <w:r>
        <w:t xml:space="preserve"> </w:t>
      </w:r>
      <w:r>
        <w:rPr>
          <w:i/>
          <w:iCs/>
        </w:rPr>
        <w:t>(</w:t>
      </w:r>
      <w:r w:rsidRPr="00651A08">
        <w:rPr>
          <w:i/>
          <w:iCs/>
        </w:rPr>
        <w:t>Heading 5</w:t>
      </w:r>
      <w:r>
        <w:rPr>
          <w:i/>
          <w:iCs/>
        </w:rPr>
        <w:t>)</w:t>
      </w:r>
    </w:p>
    <w:p w14:paraId="4AAF7AC5" w14:textId="77777777" w:rsidR="00981158" w:rsidRDefault="00981158" w:rsidP="00981158">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4905BBE5" w14:textId="77777777" w:rsidR="00981158" w:rsidRDefault="00981158" w:rsidP="00981158">
      <w:pPr>
        <w:pStyle w:val="Heading5"/>
      </w:pPr>
      <w:r w:rsidRPr="005B520E">
        <w:t>References</w:t>
      </w:r>
    </w:p>
    <w:p w14:paraId="7C062258" w14:textId="77777777" w:rsidR="00981158" w:rsidRPr="005B520E" w:rsidRDefault="00981158" w:rsidP="00981158">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1260883A" w14:textId="77777777" w:rsidR="00981158" w:rsidRPr="005B520E" w:rsidRDefault="00981158" w:rsidP="00981158">
      <w:pPr>
        <w:pStyle w:val="BodyText"/>
      </w:pPr>
      <w:r w:rsidRPr="005B520E">
        <w:t xml:space="preserve">Number footnotes separately in superscripts. Place the actual footnote at the bottom of the column in which it was </w:t>
      </w:r>
      <w:r w:rsidRPr="005B520E">
        <w:t>cited. Do not put footnotes in the</w:t>
      </w:r>
      <w:r>
        <w:rPr>
          <w:lang w:val="en-US"/>
        </w:rPr>
        <w:t xml:space="preserve"> abstract or</w:t>
      </w:r>
      <w:r w:rsidRPr="005B520E">
        <w:t xml:space="preserve"> reference list. Use letters for table footnotes.</w:t>
      </w:r>
    </w:p>
    <w:p w14:paraId="1C56CF19" w14:textId="77777777" w:rsidR="00981158" w:rsidRPr="005B520E" w:rsidRDefault="00981158" w:rsidP="00981158">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953A422" w14:textId="77777777" w:rsidR="00981158" w:rsidRPr="005B520E" w:rsidRDefault="00981158" w:rsidP="00981158">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CC9314" w14:textId="77777777" w:rsidR="00981158" w:rsidRPr="005B520E" w:rsidRDefault="00981158" w:rsidP="00981158"/>
    <w:p w14:paraId="4B33413A" w14:textId="77777777" w:rsidR="00981158" w:rsidRDefault="00981158" w:rsidP="00981158">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85A3B8B" w14:textId="77777777" w:rsidR="00981158" w:rsidRDefault="00981158" w:rsidP="00981158">
      <w:pPr>
        <w:pStyle w:val="references"/>
        <w:ind w:left="354" w:hanging="354"/>
      </w:pPr>
      <w:r>
        <w:t>J. Clerk Maxwell, A Treatise on Electricity and Magnetism, 3rd ed., vol. 2. Oxford: Clarendon, 1892, pp.68–73.</w:t>
      </w:r>
    </w:p>
    <w:p w14:paraId="08AB0570" w14:textId="77777777" w:rsidR="00981158" w:rsidRDefault="00981158" w:rsidP="00981158">
      <w:pPr>
        <w:pStyle w:val="references"/>
        <w:ind w:left="354" w:hanging="354"/>
      </w:pPr>
      <w:r>
        <w:t>I. S. Jacobs and C. P. Bean, “Fine particles, thin films and exchange anisotropy,” in Magnetism, vol. III, G. T. Rado and H. Suhl, Eds. New York: Academic, 1963, pp. 271–350.</w:t>
      </w:r>
    </w:p>
    <w:p w14:paraId="23FC472C" w14:textId="77777777" w:rsidR="00981158" w:rsidRDefault="00981158" w:rsidP="00981158">
      <w:pPr>
        <w:pStyle w:val="references"/>
        <w:ind w:left="354" w:hanging="354"/>
      </w:pPr>
      <w:r>
        <w:t>K. Elissa, “Title of paper if known,” unpublished.</w:t>
      </w:r>
    </w:p>
    <w:p w14:paraId="20432047" w14:textId="77777777" w:rsidR="00981158" w:rsidRDefault="00981158" w:rsidP="00981158">
      <w:pPr>
        <w:pStyle w:val="references"/>
        <w:ind w:left="354" w:hanging="354"/>
      </w:pPr>
      <w:r>
        <w:t>R. Nicole, “Title of paper with only first word capitalized,” J. Name Stand. Abbrev., in press.</w:t>
      </w:r>
    </w:p>
    <w:p w14:paraId="4A3A0D99" w14:textId="77777777" w:rsidR="00981158" w:rsidRDefault="00981158" w:rsidP="00981158">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0287D33" w14:textId="77777777" w:rsidR="00981158" w:rsidRDefault="00981158" w:rsidP="00981158">
      <w:pPr>
        <w:pStyle w:val="references"/>
        <w:ind w:left="354" w:hanging="354"/>
      </w:pPr>
      <w:r>
        <w:t>M. Young, The Technical Writer’s Handbook. Mill Valley, CA: University Science, 1989.</w:t>
      </w:r>
    </w:p>
    <w:p w14:paraId="1C57E678" w14:textId="77777777" w:rsidR="00981158" w:rsidRDefault="00981158" w:rsidP="00981158">
      <w:pPr>
        <w:pStyle w:val="references"/>
        <w:numPr>
          <w:ilvl w:val="0"/>
          <w:numId w:val="0"/>
        </w:numPr>
        <w:ind w:left="360" w:hanging="360"/>
      </w:pPr>
    </w:p>
    <w:p w14:paraId="7331545F" w14:textId="2EB5C08C" w:rsidR="00981158" w:rsidRPr="00981158" w:rsidRDefault="00981158" w:rsidP="00981158">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981158" w:rsidRPr="00981158"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012E80A6" w14:textId="700A1BB8" w:rsidR="00981158" w:rsidRDefault="00981158" w:rsidP="001A0B33">
      <w:pPr>
        <w:pStyle w:val="BodyText"/>
        <w:ind w:firstLine="0"/>
        <w:rPr>
          <w:lang w:val="en-US"/>
        </w:rPr>
      </w:pPr>
    </w:p>
    <w:p w14:paraId="4ED6639F" w14:textId="11B8A0DC" w:rsidR="00981158" w:rsidRDefault="00981158" w:rsidP="001A0B33">
      <w:pPr>
        <w:pStyle w:val="BodyText"/>
        <w:ind w:firstLine="0"/>
        <w:rPr>
          <w:lang w:val="en-US"/>
        </w:rPr>
      </w:pPr>
    </w:p>
    <w:p w14:paraId="72FFC015" w14:textId="5878CD41" w:rsidR="00981158" w:rsidRDefault="00981158" w:rsidP="001A0B33">
      <w:pPr>
        <w:pStyle w:val="BodyText"/>
        <w:ind w:firstLine="0"/>
        <w:rPr>
          <w:lang w:val="en-US"/>
        </w:rPr>
      </w:pPr>
    </w:p>
    <w:p w14:paraId="2D67188C" w14:textId="672575D8" w:rsidR="00981158" w:rsidRDefault="00981158" w:rsidP="001A0B33">
      <w:pPr>
        <w:pStyle w:val="BodyText"/>
        <w:ind w:firstLine="0"/>
        <w:rPr>
          <w:lang w:val="en-US"/>
        </w:rPr>
      </w:pPr>
    </w:p>
    <w:p w14:paraId="2326C825" w14:textId="21D903C4" w:rsidR="00981158" w:rsidRDefault="00981158" w:rsidP="001A0B33">
      <w:pPr>
        <w:pStyle w:val="BodyText"/>
        <w:ind w:firstLine="0"/>
        <w:rPr>
          <w:lang w:val="en-US"/>
        </w:rPr>
      </w:pPr>
    </w:p>
    <w:p w14:paraId="1D724541" w14:textId="43D79A4A" w:rsidR="00981158" w:rsidRDefault="00981158" w:rsidP="001A0B33">
      <w:pPr>
        <w:pStyle w:val="BodyText"/>
        <w:ind w:firstLine="0"/>
        <w:rPr>
          <w:lang w:val="en-US"/>
        </w:rPr>
      </w:pPr>
    </w:p>
    <w:p w14:paraId="4146F441" w14:textId="5A15469E" w:rsidR="00981158" w:rsidRDefault="00981158" w:rsidP="001A0B33">
      <w:pPr>
        <w:pStyle w:val="BodyText"/>
        <w:ind w:firstLine="0"/>
        <w:rPr>
          <w:lang w:val="en-US"/>
        </w:rPr>
      </w:pPr>
    </w:p>
    <w:p w14:paraId="7D42EF8A" w14:textId="0BEC80AA" w:rsidR="00981158" w:rsidRDefault="00981158" w:rsidP="001A0B33">
      <w:pPr>
        <w:pStyle w:val="BodyText"/>
        <w:ind w:firstLine="0"/>
        <w:rPr>
          <w:lang w:val="en-US"/>
        </w:rPr>
      </w:pPr>
    </w:p>
    <w:p w14:paraId="0B10B33B" w14:textId="1AB89E20" w:rsidR="00981158" w:rsidRDefault="00981158" w:rsidP="001A0B33">
      <w:pPr>
        <w:pStyle w:val="BodyText"/>
        <w:ind w:firstLine="0"/>
        <w:rPr>
          <w:lang w:val="en-US"/>
        </w:rPr>
      </w:pPr>
    </w:p>
    <w:p w14:paraId="3796F43D" w14:textId="35248DFF" w:rsidR="00981158" w:rsidRDefault="00981158" w:rsidP="001A0B33">
      <w:pPr>
        <w:pStyle w:val="BodyText"/>
        <w:ind w:firstLine="0"/>
        <w:rPr>
          <w:lang w:val="en-US"/>
        </w:rPr>
      </w:pPr>
    </w:p>
    <w:p w14:paraId="56682E33" w14:textId="75C14E10" w:rsidR="00981158" w:rsidRDefault="00981158" w:rsidP="001A0B33">
      <w:pPr>
        <w:pStyle w:val="BodyText"/>
        <w:ind w:firstLine="0"/>
        <w:rPr>
          <w:lang w:val="en-US"/>
        </w:rPr>
      </w:pPr>
    </w:p>
    <w:p w14:paraId="13DCBF77" w14:textId="16A9F141" w:rsidR="00981158" w:rsidRDefault="00981158" w:rsidP="001A0B33">
      <w:pPr>
        <w:pStyle w:val="BodyText"/>
        <w:ind w:firstLine="0"/>
        <w:rPr>
          <w:lang w:val="en-US"/>
        </w:rPr>
      </w:pPr>
    </w:p>
    <w:p w14:paraId="109906DC" w14:textId="59A8DAE5" w:rsidR="00981158" w:rsidRDefault="00981158" w:rsidP="001A0B33">
      <w:pPr>
        <w:pStyle w:val="BodyText"/>
        <w:ind w:firstLine="0"/>
        <w:rPr>
          <w:lang w:val="en-US"/>
        </w:rPr>
      </w:pPr>
    </w:p>
    <w:p w14:paraId="3DE26D24" w14:textId="3281D1C6" w:rsidR="00981158" w:rsidRDefault="00981158" w:rsidP="001A0B33">
      <w:pPr>
        <w:pStyle w:val="BodyText"/>
        <w:ind w:firstLine="0"/>
        <w:rPr>
          <w:lang w:val="en-US"/>
        </w:rPr>
      </w:pPr>
    </w:p>
    <w:p w14:paraId="39596EA6" w14:textId="36F6A85A" w:rsidR="00981158" w:rsidRDefault="00981158" w:rsidP="001A0B33">
      <w:pPr>
        <w:pStyle w:val="BodyText"/>
        <w:ind w:firstLine="0"/>
        <w:rPr>
          <w:lang w:val="en-US"/>
        </w:rPr>
      </w:pPr>
    </w:p>
    <w:p w14:paraId="2FA55A91" w14:textId="7590264B" w:rsidR="00981158" w:rsidRDefault="00981158" w:rsidP="001A0B33">
      <w:pPr>
        <w:pStyle w:val="BodyText"/>
        <w:ind w:firstLine="0"/>
        <w:rPr>
          <w:lang w:val="en-US"/>
        </w:rPr>
      </w:pPr>
    </w:p>
    <w:p w14:paraId="3619FF3C" w14:textId="1E618188" w:rsidR="00981158" w:rsidRDefault="00981158" w:rsidP="001A0B33">
      <w:pPr>
        <w:pStyle w:val="BodyText"/>
        <w:ind w:firstLine="0"/>
        <w:rPr>
          <w:lang w:val="en-US"/>
        </w:rPr>
      </w:pPr>
    </w:p>
    <w:p w14:paraId="1DB304FE" w14:textId="77D33BCB" w:rsidR="00981158" w:rsidRDefault="00981158" w:rsidP="001A0B33">
      <w:pPr>
        <w:pStyle w:val="BodyText"/>
        <w:ind w:firstLine="0"/>
        <w:rPr>
          <w:lang w:val="en-US"/>
        </w:rPr>
      </w:pPr>
    </w:p>
    <w:p w14:paraId="7DA9CB6F" w14:textId="75EE68B7" w:rsidR="00981158" w:rsidRDefault="00981158" w:rsidP="001A0B33">
      <w:pPr>
        <w:pStyle w:val="BodyText"/>
        <w:ind w:firstLine="0"/>
        <w:rPr>
          <w:lang w:val="en-US"/>
        </w:rPr>
      </w:pPr>
    </w:p>
    <w:p w14:paraId="56343D60" w14:textId="2D236052" w:rsidR="00981158" w:rsidRDefault="00981158" w:rsidP="001A0B33">
      <w:pPr>
        <w:pStyle w:val="BodyText"/>
        <w:ind w:firstLine="0"/>
        <w:rPr>
          <w:lang w:val="en-US"/>
        </w:rPr>
      </w:pPr>
    </w:p>
    <w:p w14:paraId="4132F877" w14:textId="5B72BC6E"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68C96D38" w:rsidR="00981158" w:rsidRDefault="00981158" w:rsidP="001A0B33">
      <w:pPr>
        <w:pStyle w:val="BodyText"/>
        <w:ind w:firstLine="0"/>
        <w:rPr>
          <w:lang w:val="en-US"/>
        </w:rPr>
      </w:pPr>
    </w:p>
    <w:p w14:paraId="56ADF9FE" w14:textId="5E08CA69" w:rsidR="00981158" w:rsidRDefault="00447C01" w:rsidP="001A0B33">
      <w:pPr>
        <w:pStyle w:val="BodyText"/>
        <w:ind w:firstLine="0"/>
        <w:rPr>
          <w:lang w:val="en-US"/>
        </w:rPr>
      </w:pPr>
      <w:r>
        <w:rPr>
          <w:noProof/>
          <w:lang w:val="en-US"/>
        </w:rPr>
        <w:drawing>
          <wp:inline distT="0" distB="0" distL="0" distR="0" wp14:anchorId="124A0EC4" wp14:editId="20AB0CDD">
            <wp:extent cx="3089910" cy="20538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053893"/>
                    </a:xfrm>
                    <a:prstGeom prst="rect">
                      <a:avLst/>
                    </a:prstGeom>
                  </pic:spPr>
                </pic:pic>
              </a:graphicData>
            </a:graphic>
          </wp:inline>
        </w:drawing>
      </w: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C86E" w14:textId="77777777" w:rsidR="00A32528" w:rsidRDefault="00A32528">
      <w:pPr>
        <w:spacing w:after="0" w:line="240" w:lineRule="auto"/>
      </w:pPr>
      <w:r>
        <w:separator/>
      </w:r>
    </w:p>
  </w:endnote>
  <w:endnote w:type="continuationSeparator" w:id="0">
    <w:p w14:paraId="75BF2449" w14:textId="77777777" w:rsidR="00A32528" w:rsidRDefault="00A3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AB45F" w14:textId="77777777" w:rsidR="00A32528" w:rsidRDefault="00A32528">
      <w:pPr>
        <w:spacing w:after="0" w:line="240" w:lineRule="auto"/>
      </w:pPr>
      <w:r>
        <w:separator/>
      </w:r>
    </w:p>
  </w:footnote>
  <w:footnote w:type="continuationSeparator" w:id="0">
    <w:p w14:paraId="1E78B933" w14:textId="77777777" w:rsidR="00A32528" w:rsidRDefault="00A32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79683387">
    <w:abstractNumId w:val="5"/>
  </w:num>
  <w:num w:numId="2" w16cid:durableId="1483156567">
    <w:abstractNumId w:val="8"/>
  </w:num>
  <w:num w:numId="3" w16cid:durableId="1299648346">
    <w:abstractNumId w:val="3"/>
  </w:num>
  <w:num w:numId="4" w16cid:durableId="43799946">
    <w:abstractNumId w:val="12"/>
  </w:num>
  <w:num w:numId="5" w16cid:durableId="1965191435">
    <w:abstractNumId w:val="14"/>
  </w:num>
  <w:num w:numId="6" w16cid:durableId="178934615">
    <w:abstractNumId w:val="6"/>
  </w:num>
  <w:num w:numId="7" w16cid:durableId="1344940424">
    <w:abstractNumId w:val="1"/>
  </w:num>
  <w:num w:numId="8" w16cid:durableId="1047022703">
    <w:abstractNumId w:val="11"/>
  </w:num>
  <w:num w:numId="9" w16cid:durableId="1852060276">
    <w:abstractNumId w:val="4"/>
  </w:num>
  <w:num w:numId="10" w16cid:durableId="1766729624">
    <w:abstractNumId w:val="9"/>
  </w:num>
  <w:num w:numId="11" w16cid:durableId="2038893008">
    <w:abstractNumId w:val="0"/>
  </w:num>
  <w:num w:numId="12" w16cid:durableId="806555637">
    <w:abstractNumId w:val="13"/>
  </w:num>
  <w:num w:numId="13" w16cid:durableId="1464805171">
    <w:abstractNumId w:val="5"/>
    <w:lvlOverride w:ilvl="0">
      <w:startOverride w:val="1"/>
    </w:lvlOverride>
  </w:num>
  <w:num w:numId="14" w16cid:durableId="90395511">
    <w:abstractNumId w:val="10"/>
  </w:num>
  <w:num w:numId="15" w16cid:durableId="561334047">
    <w:abstractNumId w:val="7"/>
  </w:num>
  <w:num w:numId="16" w16cid:durableId="696395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E47A5"/>
    <w:rsid w:val="00163B67"/>
    <w:rsid w:val="001747E9"/>
    <w:rsid w:val="001A0B33"/>
    <w:rsid w:val="001F7439"/>
    <w:rsid w:val="00250DC9"/>
    <w:rsid w:val="002A1863"/>
    <w:rsid w:val="002A316F"/>
    <w:rsid w:val="002C2E16"/>
    <w:rsid w:val="00331CFE"/>
    <w:rsid w:val="00363B09"/>
    <w:rsid w:val="00367067"/>
    <w:rsid w:val="00405A60"/>
    <w:rsid w:val="004121E5"/>
    <w:rsid w:val="004151D5"/>
    <w:rsid w:val="00421AD7"/>
    <w:rsid w:val="00447C01"/>
    <w:rsid w:val="004661F4"/>
    <w:rsid w:val="00475264"/>
    <w:rsid w:val="00485A8E"/>
    <w:rsid w:val="004E57AE"/>
    <w:rsid w:val="00590DD7"/>
    <w:rsid w:val="00636404"/>
    <w:rsid w:val="0067166E"/>
    <w:rsid w:val="00684213"/>
    <w:rsid w:val="006C1C34"/>
    <w:rsid w:val="00760CE1"/>
    <w:rsid w:val="007874C8"/>
    <w:rsid w:val="007C4F67"/>
    <w:rsid w:val="00812D14"/>
    <w:rsid w:val="00816D70"/>
    <w:rsid w:val="00830C3B"/>
    <w:rsid w:val="008A54EA"/>
    <w:rsid w:val="009311CD"/>
    <w:rsid w:val="00975249"/>
    <w:rsid w:val="00981158"/>
    <w:rsid w:val="009D4269"/>
    <w:rsid w:val="009E4109"/>
    <w:rsid w:val="00A32528"/>
    <w:rsid w:val="00B5231D"/>
    <w:rsid w:val="00B86A07"/>
    <w:rsid w:val="00BE4DEE"/>
    <w:rsid w:val="00BF5206"/>
    <w:rsid w:val="00C32086"/>
    <w:rsid w:val="00CE621A"/>
    <w:rsid w:val="00D724D2"/>
    <w:rsid w:val="00DF01DF"/>
    <w:rsid w:val="00E153AF"/>
    <w:rsid w:val="00E32C21"/>
    <w:rsid w:val="00E46B0D"/>
    <w:rsid w:val="00E71DF2"/>
    <w:rsid w:val="00E77E31"/>
    <w:rsid w:val="00EA4541"/>
    <w:rsid w:val="00EE3190"/>
    <w:rsid w:val="00F36DC9"/>
    <w:rsid w:val="00F532F4"/>
    <w:rsid w:val="00F92249"/>
    <w:rsid w:val="00F94D3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3987</Words>
  <Characters>22730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ryan.reed0925@gmail.com</cp:lastModifiedBy>
  <cp:revision>81</cp:revision>
  <dcterms:created xsi:type="dcterms:W3CDTF">2022-10-15T01:18:00Z</dcterms:created>
  <dcterms:modified xsi:type="dcterms:W3CDTF">2022-10-16T09:30:00Z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