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Helvetica Neue" w:hAnsi="Helvetica Neue"/>
          <w:b w:val="0"/>
          <w:i w:val="0"/>
          <w:color w:val="5B6068"/>
          <w:sz w:val="20"/>
        </w:rPr>
        <w:t>Tulsa, OK</w:t>
      </w:r>
    </w:p>
    <w:p>
      <w:pPr>
        <w:spacing w:before="240" w:after="280"/>
      </w:pPr>
      <w:r>
        <w:rPr>
          <w:rFonts w:ascii="Helvetica Neue" w:hAnsi="Helvetica Neue"/>
          <w:b w:val="0"/>
          <w:i w:val="0"/>
          <w:color w:val="1D1F24"/>
          <w:sz w:val="20"/>
        </w:rPr>
        <w:t>2026-05-01</w:t>
      </w:r>
    </w:p>
    <w:p>
      <w:pPr>
        <w:spacing w:before="0" w:after="200"/>
      </w:pPr>
      <w:r>
        <w:rPr>
          <w:rFonts w:ascii="Helvetica Neue" w:hAnsi="Helvetica Neue"/>
          <w:b w:val="0"/>
          <w:i w:val="0"/>
          <w:color w:val="1D1F24"/>
          <w:sz w:val="22"/>
        </w:rPr>
        <w:t>Dear Hiring Team,</w:t>
      </w:r>
    </w:p>
    <w:p>
      <w:pPr>
        <w:spacing w:before="0" w:after="200" w:line="336" w:lineRule="auto"/>
      </w:pPr>
      <w:r>
        <w:rPr>
          <w:rFonts w:ascii="Helvetica Neue" w:hAnsi="Helvetica Neue"/>
          <w:b w:val="0"/>
          <w:i w:val="0"/>
          <w:color w:val="1D1F24"/>
          <w:sz w:val="22"/>
        </w:rPr>
        <w:t>Bloomreach’s focus on contributing to leading technologies and accessing resources to develop new skills lines up with how I approach security work. I focus on making security data usable, automating safely with human approval points, and designing practical controls that fit real constraints.</w:t>
      </w:r>
    </w:p>
    <w:p>
      <w:pPr>
        <w:spacing w:before="0" w:after="200" w:line="336" w:lineRule="auto"/>
      </w:pPr>
      <w:r>
        <w:rPr>
          <w:rFonts w:ascii="Helvetica Neue" w:hAnsi="Helvetica Neue"/>
          <w:b w:val="0"/>
          <w:i w:val="0"/>
          <w:color w:val="1D1F24"/>
          <w:sz w:val="22"/>
        </w:rPr>
        <w:t>At Dillard's, I helped turn raw SAST findings into reports stakeholders could act on. Instead of wading through scanner output, teams saw what mattered, who owned it, and how to sequence fixes, which moved discussions from data cleanup to remediation decisions.</w:t>
      </w:r>
    </w:p>
    <w:p>
      <w:pPr>
        <w:spacing w:before="0" w:after="200" w:line="336" w:lineRule="auto"/>
      </w:pPr>
      <w:r>
        <w:rPr>
          <w:rFonts w:ascii="Helvetica Neue" w:hAnsi="Helvetica Neue"/>
          <w:b w:val="0"/>
          <w:i w:val="0"/>
          <w:color w:val="1D1F24"/>
          <w:sz w:val="22"/>
        </w:rPr>
        <w:t>In my security automation projects, I designed monitoring and approval gates that keep automation fast without losing control when actions get risky. That pattern gave reviewers the right context at the right time, so remediation steps could proceed confidently with an audit trail.</w:t>
      </w:r>
    </w:p>
    <w:p>
      <w:pPr>
        <w:spacing w:before="0" w:after="200" w:line="336" w:lineRule="auto"/>
      </w:pPr>
      <w:r>
        <w:rPr>
          <w:rFonts w:ascii="Helvetica Neue" w:hAnsi="Helvetica Neue"/>
          <w:b w:val="0"/>
          <w:i w:val="0"/>
          <w:color w:val="1D1F24"/>
          <w:sz w:val="22"/>
        </w:rPr>
        <w:t>For a nonprofit healthcare migration, I mapped risks and designed an SMS MFA flow that fit budget and access needs. That work helped leadership see tradeoffs clearly and choose a rollout that protected sensitive data while staying practical for staff.</w:t>
      </w:r>
    </w:p>
    <w:p>
      <w:pPr>
        <w:spacing w:before="0" w:after="200" w:line="336" w:lineRule="auto"/>
      </w:pPr>
      <w:r>
        <w:rPr>
          <w:rFonts w:ascii="Helvetica Neue" w:hAnsi="Helvetica Neue"/>
          <w:b w:val="0"/>
          <w:i w:val="0"/>
          <w:color w:val="1D1F24"/>
          <w:sz w:val="22"/>
        </w:rPr>
        <w:t>I can share a sanitized mockup of the vulnerability reporting format and walk through the approval-gate pattern next Tuesday or Wednesday between 1 and 4 pm CT.</w:t>
      </w:r>
    </w:p>
    <w:p>
      <w:pPr>
        <w:spacing w:before="240" w:after="80"/>
      </w:pPr>
      <w:r>
        <w:rPr>
          <w:rFonts w:ascii="Helvetica Neue" w:hAnsi="Helvetica Neue"/>
          <w:b w:val="0"/>
          <w:i w:val="0"/>
          <w:color w:val="1D1F24"/>
          <w:sz w:val="22"/>
        </w:rPr>
        <w:t>Sincerely,</w:t>
      </w:r>
    </w:p>
    <w:p>
      <w:pPr>
        <w:spacing w:before="0" w:after="0"/>
      </w:pPr>
      <w:r>
        <w:rPr>
          <w:rFonts w:ascii="Helvetica Neue" w:hAnsi="Helvetica Neue"/>
          <w:b/>
          <w:i w:val="0"/>
          <w:color w:val="1A3A5C"/>
          <w:sz w:val="22"/>
        </w:rPr>
        <w:t>Dillon Stinson</w:t>
      </w:r>
    </w:p>
    <w:p>
      <w:pPr>
        <w:spacing w:before="0" w:after="0"/>
      </w:pPr>
      <w:r>
        <w:rPr>
          <w:rFonts w:ascii="Helvetica Neue" w:hAnsi="Helvetica Neue"/>
          <w:b w:val="0"/>
          <w:i w:val="0"/>
          <w:color w:val="5B6068"/>
          <w:sz w:val="20"/>
        </w:rPr>
        <w:t>dds1244@utulsa.edu  •  580-678-7939</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