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Helvetica Neue" w:hAnsi="Helvetica Neue"/>
          <w:b w:val="0"/>
          <w:i w:val="0"/>
          <w:color w:val="5B6068"/>
          <w:sz w:val="20"/>
        </w:rPr>
        <w:t>Tulsa, OK</w:t>
      </w:r>
    </w:p>
    <w:p>
      <w:pPr>
        <w:spacing w:before="240" w:after="280"/>
      </w:pPr>
      <w:r>
        <w:rPr>
          <w:rFonts w:ascii="Helvetica Neue" w:hAnsi="Helvetica Neue"/>
          <w:b w:val="0"/>
          <w:i w:val="0"/>
          <w:color w:val="1D1F24"/>
          <w:sz w:val="20"/>
        </w:rPr>
        <w:t>2026-05-01</w:t>
      </w:r>
    </w:p>
    <w:p>
      <w:pPr>
        <w:spacing w:before="0" w:after="200"/>
      </w:pPr>
      <w:r>
        <w:rPr>
          <w:rFonts w:ascii="Helvetica Neue" w:hAnsi="Helvetica Neue"/>
          <w:b w:val="0"/>
          <w:i w:val="0"/>
          <w:color w:val="1D1F24"/>
          <w:sz w:val="22"/>
        </w:rPr>
        <w:t>Dear Hiring Team,</w:t>
      </w:r>
    </w:p>
    <w:p>
      <w:pPr>
        <w:spacing w:before="0" w:after="200" w:line="336" w:lineRule="auto"/>
      </w:pPr>
      <w:r>
        <w:rPr>
          <w:rFonts w:ascii="Helvetica Neue" w:hAnsi="Helvetica Neue"/>
          <w:b w:val="0"/>
          <w:i w:val="0"/>
          <w:color w:val="1D1F24"/>
          <w:sz w:val="22"/>
        </w:rPr>
        <w:t>I am applying for the Security Analyst role at Core One. My work centers on making security data usable for decision-makers, from Python-based vulnerability reporting to risk mapping and monitoring concepts that help teams act faster and with more confidence.</w:t>
      </w:r>
    </w:p>
    <w:p>
      <w:pPr>
        <w:spacing w:before="0" w:after="200" w:line="336" w:lineRule="auto"/>
      </w:pPr>
      <w:r>
        <w:rPr>
          <w:rFonts w:ascii="Helvetica Neue" w:hAnsi="Helvetica Neue"/>
          <w:b w:val="0"/>
          <w:i w:val="0"/>
          <w:color w:val="1D1F24"/>
          <w:sz w:val="22"/>
        </w:rPr>
        <w:t>At Dillard's, I helped turn raw code-scanner output into reports that engineering leads and security leadership could use to set priorities. The summaries highlighted severity and ownership clearly, so teams could plan remediation without wading through scanner details, and they also informed where secure code training would have the most impact.</w:t>
      </w:r>
    </w:p>
    <w:p>
      <w:pPr>
        <w:spacing w:before="0" w:after="200" w:line="336" w:lineRule="auto"/>
      </w:pPr>
      <w:r>
        <w:rPr>
          <w:rFonts w:ascii="Helvetica Neue" w:hAnsi="Helvetica Neue"/>
          <w:b w:val="0"/>
          <w:i w:val="0"/>
          <w:color w:val="1D1F24"/>
          <w:sz w:val="22"/>
        </w:rPr>
        <w:t>For a nonprofit healthcare client, I mapped current workflows and technology to concrete security and privacy risks during a planned migration. I supported leadership with a clear picture of rollout risks and escalation paths, and I designed a low-cost SMS MFA approach that aligned with budget limits while strengthening access to sensitive information.</w:t>
      </w:r>
    </w:p>
    <w:p>
      <w:pPr>
        <w:spacing w:before="0" w:after="200" w:line="336" w:lineRule="auto"/>
      </w:pPr>
      <w:r>
        <w:rPr>
          <w:rFonts w:ascii="Helvetica Neue" w:hAnsi="Helvetica Neue"/>
          <w:b w:val="0"/>
          <w:i w:val="0"/>
          <w:color w:val="1D1F24"/>
          <w:sz w:val="22"/>
        </w:rPr>
        <w:t>I also built monitoring and approval-gate concepts that surface failures and route risky actions through human review, which improves trust in automated remediation. I can provide a sanitized sample or mockup of the vulnerability reporting format and a simple diagram of the approval flow. I am available this week on Wednesday between 2 and 4 pm CT or Friday between 10 am and 12 pm CT.</w:t>
      </w:r>
    </w:p>
    <w:p>
      <w:pPr>
        <w:spacing w:before="240" w:after="80"/>
      </w:pPr>
      <w:r>
        <w:rPr>
          <w:rFonts w:ascii="Helvetica Neue" w:hAnsi="Helvetica Neue"/>
          <w:b w:val="0"/>
          <w:i w:val="0"/>
          <w:color w:val="1D1F24"/>
          <w:sz w:val="22"/>
        </w:rPr>
        <w:t>Sincerely,</w:t>
      </w:r>
    </w:p>
    <w:p>
      <w:pPr>
        <w:spacing w:before="0" w:after="0"/>
      </w:pPr>
      <w:r>
        <w:rPr>
          <w:rFonts w:ascii="Helvetica Neue" w:hAnsi="Helvetica Neue"/>
          <w:b/>
          <w:i w:val="0"/>
          <w:color w:val="1A3A5C"/>
          <w:sz w:val="22"/>
        </w:rPr>
        <w:t>Dillon Stinson</w:t>
      </w:r>
    </w:p>
    <w:p>
      <w:pPr>
        <w:spacing w:before="0" w:after="0"/>
      </w:pPr>
      <w:r>
        <w:rPr>
          <w:rFonts w:ascii="Helvetica Neue" w:hAnsi="Helvetica Neue"/>
          <w:b w:val="0"/>
          <w:i w:val="0"/>
          <w:color w:val="5B6068"/>
          <w:sz w:val="20"/>
        </w:rPr>
        <w:t>dds1244@utulsa.edu  •  580-678-7939</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