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Helvetica Neue" w:hAnsi="Helvetica Neue"/>
          <w:b w:val="0"/>
          <w:i w:val="0"/>
          <w:color w:val="5B6068"/>
          <w:sz w:val="20"/>
        </w:rPr>
        <w:t>Tulsa, OK</w:t>
      </w:r>
    </w:p>
    <w:p>
      <w:pPr>
        <w:spacing w:before="240" w:after="280"/>
      </w:pPr>
      <w:r>
        <w:rPr>
          <w:rFonts w:ascii="Helvetica Neue" w:hAnsi="Helvetica Neue"/>
          <w:b w:val="0"/>
          <w:i w:val="0"/>
          <w:color w:val="1D1F24"/>
          <w:sz w:val="20"/>
        </w:rPr>
        <w:t>2026-05-01</w:t>
      </w:r>
    </w:p>
    <w:p>
      <w:pPr>
        <w:spacing w:before="0" w:after="200"/>
      </w:pPr>
      <w:r>
        <w:rPr>
          <w:rFonts w:ascii="Helvetica Neue" w:hAnsi="Helvetica Neue"/>
          <w:b w:val="0"/>
          <w:i w:val="0"/>
          <w:color w:val="1D1F24"/>
          <w:sz w:val="22"/>
        </w:rPr>
        <w:t>Dear Hiring Team,</w:t>
      </w:r>
    </w:p>
    <w:p>
      <w:pPr>
        <w:spacing w:before="0" w:after="200" w:line="336" w:lineRule="auto"/>
      </w:pPr>
      <w:r>
        <w:rPr>
          <w:rFonts w:ascii="Helvetica Neue" w:hAnsi="Helvetica Neue"/>
          <w:b w:val="0"/>
          <w:i w:val="0"/>
          <w:color w:val="1D1F24"/>
          <w:sz w:val="22"/>
        </w:rPr>
        <w:t>I am applying for the Security Engineer role focused on Threat and Vulnerability Management. My work centers on turning scanner output into clear remediation guidance, tracking issues through closure, and using Python automation to keep reporting repeatable and accurate.</w:t>
      </w:r>
    </w:p>
    <w:p>
      <w:pPr>
        <w:spacing w:before="0" w:after="200" w:line="336" w:lineRule="auto"/>
      </w:pPr>
      <w:r>
        <w:rPr>
          <w:rFonts w:ascii="Helvetica Neue" w:hAnsi="Helvetica Neue"/>
          <w:b w:val="0"/>
          <w:i w:val="0"/>
          <w:color w:val="1D1F24"/>
          <w:sz w:val="22"/>
        </w:rPr>
        <w:t>At Dillard's, the point of the reporting was to help stakeholders act faster. Converting raw findings into summaries that highlighted severity and ownership let teams see what mattered first, without digging through tool output. That clarity supported quicker prioritization and more consistent follow-up.</w:t>
      </w:r>
    </w:p>
    <w:p>
      <w:pPr>
        <w:spacing w:before="0" w:after="200" w:line="336" w:lineRule="auto"/>
      </w:pPr>
      <w:r>
        <w:rPr>
          <w:rFonts w:ascii="Helvetica Neue" w:hAnsi="Helvetica Neue"/>
          <w:b w:val="0"/>
          <w:i w:val="0"/>
          <w:color w:val="1D1F24"/>
          <w:sz w:val="22"/>
        </w:rPr>
        <w:t>For a nonprofit healthcare client, I helped leadership see where a migration could introduce risk, and how to stage decisions so impact stayed low. I also designed a cost-aware SMS MFA approach that fit their constraints while improving access control for sensitive information in a HIPAA-aligned way.</w:t>
      </w:r>
    </w:p>
    <w:p>
      <w:pPr>
        <w:spacing w:before="0" w:after="200" w:line="336" w:lineRule="auto"/>
      </w:pPr>
      <w:r>
        <w:rPr>
          <w:rFonts w:ascii="Helvetica Neue" w:hAnsi="Helvetica Neue"/>
          <w:b w:val="0"/>
          <w:i w:val="0"/>
          <w:color w:val="1D1F24"/>
          <w:sz w:val="22"/>
        </w:rPr>
        <w:t>I can provide a sanitized sample or mockup of the vulnerability reporting format and walk through how it supports prioritization this week on Wednesday or Thursday, 1 to 4 pm CT.</w:t>
      </w:r>
    </w:p>
    <w:p>
      <w:pPr>
        <w:spacing w:before="240" w:after="80"/>
      </w:pPr>
      <w:r>
        <w:rPr>
          <w:rFonts w:ascii="Helvetica Neue" w:hAnsi="Helvetica Neue"/>
          <w:b w:val="0"/>
          <w:i w:val="0"/>
          <w:color w:val="1D1F24"/>
          <w:sz w:val="22"/>
        </w:rPr>
        <w:t>Sincerely,</w:t>
      </w:r>
    </w:p>
    <w:p>
      <w:pPr>
        <w:spacing w:before="0" w:after="0"/>
      </w:pPr>
      <w:r>
        <w:rPr>
          <w:rFonts w:ascii="Helvetica Neue" w:hAnsi="Helvetica Neue"/>
          <w:b/>
          <w:i w:val="0"/>
          <w:color w:val="1A3A5C"/>
          <w:sz w:val="22"/>
        </w:rPr>
        <w:t>Dillon Stinson</w:t>
      </w:r>
    </w:p>
    <w:p>
      <w:pPr>
        <w:spacing w:before="0" w:after="0"/>
      </w:pPr>
      <w:r>
        <w:rPr>
          <w:rFonts w:ascii="Helvetica Neue" w:hAnsi="Helvetica Neue"/>
          <w:b w:val="0"/>
          <w:i w:val="0"/>
          <w:color w:val="5B6068"/>
          <w:sz w:val="20"/>
        </w:rPr>
        <w:t>dds1244@utulsa.edu  •  580-678-7939</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