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Helvetica Neue" w:hAnsi="Helvetica Neue"/>
          <w:b w:val="0"/>
          <w:i w:val="0"/>
          <w:color w:val="5B6068"/>
          <w:sz w:val="20"/>
        </w:rPr>
        <w:t>Tulsa, OK</w:t>
      </w:r>
    </w:p>
    <w:p>
      <w:pPr>
        <w:spacing w:before="240" w:after="280"/>
      </w:pPr>
      <w:r>
        <w:rPr>
          <w:rFonts w:ascii="Helvetica Neue" w:hAnsi="Helvetica Neue"/>
          <w:b w:val="0"/>
          <w:i w:val="0"/>
          <w:color w:val="1D1F24"/>
          <w:sz w:val="20"/>
        </w:rPr>
        <w:t>2026-05-01</w:t>
      </w:r>
    </w:p>
    <w:p>
      <w:pPr>
        <w:spacing w:before="0" w:after="200"/>
      </w:pPr>
      <w:r>
        <w:rPr>
          <w:rFonts w:ascii="Helvetica Neue" w:hAnsi="Helvetica Neue"/>
          <w:b w:val="0"/>
          <w:i w:val="0"/>
          <w:color w:val="1D1F24"/>
          <w:sz w:val="22"/>
        </w:rPr>
        <w:t>Dear Hiring Team,</w:t>
      </w:r>
    </w:p>
    <w:p>
      <w:pPr>
        <w:spacing w:before="0" w:after="200" w:line="336" w:lineRule="auto"/>
      </w:pPr>
      <w:r>
        <w:rPr>
          <w:rFonts w:ascii="Helvetica Neue" w:hAnsi="Helvetica Neue"/>
          <w:b w:val="0"/>
          <w:i w:val="0"/>
          <w:color w:val="1D1F24"/>
          <w:sz w:val="22"/>
        </w:rPr>
        <w:t>UltraViolet Cyber’s associate SOC focus on real-time monitoring, initial investigation, and clear communication lines up with how I work. I bring hands-on log and traffic analysis, Python-powered reporting, and the habit of turning technical findings into decisions stakeholders can act on.</w:t>
      </w:r>
    </w:p>
    <w:p>
      <w:pPr>
        <w:spacing w:before="0" w:after="200" w:line="336" w:lineRule="auto"/>
      </w:pPr>
      <w:r>
        <w:rPr>
          <w:rFonts w:ascii="Helvetica Neue" w:hAnsi="Helvetica Neue"/>
          <w:b w:val="0"/>
          <w:i w:val="0"/>
          <w:color w:val="1D1F24"/>
          <w:sz w:val="22"/>
        </w:rPr>
        <w:t>In my centralized logging lab I set up alerts that surfaced suspicious sudo activity and failed logons quickly, which made triage straightforward. That workflow let me validate event coverage, verify that critical signals were collected, and move from noise to a defensible escalation path faster than ad hoc log checks.</w:t>
      </w:r>
    </w:p>
    <w:p>
      <w:pPr>
        <w:spacing w:before="0" w:after="200" w:line="336" w:lineRule="auto"/>
      </w:pPr>
      <w:r>
        <w:rPr>
          <w:rFonts w:ascii="Helvetica Neue" w:hAnsi="Helvetica Neue"/>
          <w:b w:val="0"/>
          <w:i w:val="0"/>
          <w:color w:val="1D1F24"/>
          <w:sz w:val="22"/>
        </w:rPr>
        <w:t>At Dillard’s I helped convert SAST findings into reports that made ownership and severity obvious, so teams could focus on the right fixes instead of digging through raw outputs. Making the data understandable shortened the step between detection and action for the people who had to remediate.</w:t>
      </w:r>
    </w:p>
    <w:p>
      <w:pPr>
        <w:spacing w:before="0" w:after="200" w:line="336" w:lineRule="auto"/>
      </w:pPr>
      <w:r>
        <w:rPr>
          <w:rFonts w:ascii="Helvetica Neue" w:hAnsi="Helvetica Neue"/>
          <w:b w:val="0"/>
          <w:i w:val="0"/>
          <w:color w:val="1D1F24"/>
          <w:sz w:val="22"/>
        </w:rPr>
        <w:t>On a nonprofit healthcare project I presented migration risks and rollout tradeoffs to both technical staff and leadership. Framing the issues in plain terms helped the client choose safer access patterns and sequence the rollout with fewer surprises.</w:t>
      </w:r>
    </w:p>
    <w:p>
      <w:pPr>
        <w:spacing w:before="0" w:after="200" w:line="336" w:lineRule="auto"/>
      </w:pPr>
      <w:r>
        <w:rPr>
          <w:rFonts w:ascii="Helvetica Neue" w:hAnsi="Helvetica Neue"/>
          <w:b w:val="0"/>
          <w:i w:val="0"/>
          <w:color w:val="1D1F24"/>
          <w:sz w:val="22"/>
        </w:rPr>
        <w:t>I can share a sanitized mockup of the vulnerability reporting format and a brief walkthrough of the alert-triage checklist I used. I am available Wednesday or Thursday between 1 and 4 pm CT.</w:t>
      </w:r>
    </w:p>
    <w:p>
      <w:pPr>
        <w:spacing w:before="240" w:after="80"/>
      </w:pPr>
      <w:r>
        <w:rPr>
          <w:rFonts w:ascii="Helvetica Neue" w:hAnsi="Helvetica Neue"/>
          <w:b w:val="0"/>
          <w:i w:val="0"/>
          <w:color w:val="1D1F24"/>
          <w:sz w:val="22"/>
        </w:rPr>
        <w:t>Sincerely,</w:t>
      </w:r>
    </w:p>
    <w:p>
      <w:pPr>
        <w:spacing w:before="0" w:after="0"/>
      </w:pPr>
      <w:r>
        <w:rPr>
          <w:rFonts w:ascii="Helvetica Neue" w:hAnsi="Helvetica Neue"/>
          <w:b/>
          <w:i w:val="0"/>
          <w:color w:val="1A3A5C"/>
          <w:sz w:val="22"/>
        </w:rPr>
        <w:t>Dillon Stinson</w:t>
      </w:r>
    </w:p>
    <w:p>
      <w:pPr>
        <w:spacing w:before="0" w:after="0"/>
      </w:pPr>
      <w:r>
        <w:rPr>
          <w:rFonts w:ascii="Helvetica Neue" w:hAnsi="Helvetica Neue"/>
          <w:b w:val="0"/>
          <w:i w:val="0"/>
          <w:color w:val="5B6068"/>
          <w:sz w:val="20"/>
        </w:rPr>
        <w:t>dds1244@utulsa.edu  •  580-678-7939</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