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Gil Project 2 Conceptual Review</w:t>
      </w:r>
    </w:p>
    <w:p>
      <w:r>
        <w:rPr>
          <w:b/>
        </w:rPr>
        <w:t>Step by step decisions and evidence before notebook cleanup</w:t>
      </w:r>
    </w:p>
    <w:p>
      <w:r>
        <w:rPr>
          <w:sz w:val="22"/>
        </w:rPr>
        <w:t>Version 4 | October 13, 2026 | Current model and decision audit</w:t>
      </w:r>
    </w:p>
    <w:p>
      <w:r>
        <w:rPr>
          <w:sz w:val="22"/>
        </w:rPr>
        <w:t>We retain the application-only neural network with gender excluded, age retained, 64 and 32 hidden units, and weight decay 0.0001. The current 95-error spreadsheet contains draft case notes for team verification. A new 24-fit audit supports retaining this configuration within the chosen scope; fairness and deployment acceptance remain unresolved.</w:t>
      </w:r>
    </w:p>
    <w:p>
      <w:r>
        <w:t>This document is the review record for deciding what to keep, revise, or remove later. It explains the work conceptually and separates observations from explanations we have not established. The notebooks now implement the agreed model and evaluation decisions; historical experiments remain preserved.</w:t>
      </w:r>
    </w:p>
    <w:p>
      <w:pPr>
        <w:pStyle w:val="Heading2"/>
      </w:pPr>
      <w:r>
        <w:t>How to use this document</w:t>
      </w:r>
    </w:p>
    <w:p>
      <w:r>
        <w:t>Read the steps in order. Record the question, evidence, evaluation metric and decision for each change. Use the coverage review near the end to see what remains unfinished. The notebook map and source guide locate the supporting work.</w:t>
      </w:r>
    </w:p>
    <w:p>
      <w:pPr>
        <w:pStyle w:val="Heading2"/>
      </w:pPr>
      <w:r>
        <w:t>Step 1 Define the prediction and the harm</w:t>
      </w:r>
    </w:p>
    <w:p>
      <w:r>
        <w:rPr>
          <w:b w:val="0"/>
        </w:rPr>
        <w:t>We predict recorded repayment difficulty using Home Credit application data. TARGET=1 means difficulty; it should not be described as certain permanent default. A predicted 0 is a favorable risk classification, not a real approval. The assignment places us in a bank lending context, but these data do not establish that our model is mortgage-specific.</w:t>
      </w:r>
    </w:p>
    <w:p>
      <w:r>
        <w:rPr>
          <w:b w:val="0"/>
        </w:rPr>
        <w:t>A false negative misses difficulty. A false positive flags an applicant without recorded difficulty. Both matter, but their real-world costs have not been quantified. That uncertainty limits claims that one threshold is the best business decision.</w:t>
      </w:r>
    </w:p>
    <w:p>
      <w:pPr>
        <w:pStyle w:val="Heading2"/>
      </w:pPr>
      <w:r>
        <w:t>Step 2 Choose the scope</w:t>
      </w:r>
    </w:p>
    <w:p>
      <w:r>
        <w:rPr>
          <w:b w:val="0"/>
        </w:rPr>
        <w:t>The selected workflow uses application_train.csv, with 307,511 applicants. Bureau and repayment-history joins were tested historically. Some improved metrics, but we retained application-only modeling for simplicity. This is a scope and complexity choice, not evidence that the extra information was useless or that the baseline has the highest AUC.</w:t>
      </w:r>
    </w:p>
    <w:p>
      <w:r>
        <w:rPr>
          <w:sz w:val="22"/>
        </w:rPr>
        <w:t>Current position: application-only is a deliberate simplicity constraint, not a claim that extra tables lack signal. Within that scope, blackbox AUC selects the model and checkpoint; blackbox F1 sets the cutoff. The October 13 audit adds a recorded minimum-gain and seed-consistency rule for deciding whether to switch.</w:t>
      </w:r>
    </w:p>
    <w:p>
      <w:r/>
    </w:p>
    <w:p>
      <w:pPr>
        <w:pStyle w:val="Heading1"/>
        <w:pageBreakBefore/>
      </w:pPr>
      <w:r>
        <w:t>Data preparation and the selected model</w:t>
      </w:r>
    </w:p>
    <w:p>
      <w:pPr>
        <w:pStyle w:val="Heading2"/>
      </w:pPr>
      <w:r>
        <w:t>Step 3 Prepare inputs without learning from dev data</w:t>
      </w:r>
    </w:p>
    <w:p>
      <w:r>
        <w:rPr>
          <w:sz w:val="22"/>
        </w:rPr>
        <w:t>We exclude TARGET, SK_ID_CURR and CODE_GENDER from predictors, clean the DAYS_EMPLOYED sentinel 365243, and add its indicator. Numeric imputation, scaling, categorical encoding and missingness flags are learned from training data only. Raw gender and age remain available for fairness auditing. Feature coverage, unique IDs and split separation were checked.</w:t>
      </w:r>
    </w:p>
    <w:p>
      <w:r>
        <w:rPr>
          <w:b w:val="0"/>
        </w:rPr>
        <w:t>Why this matters: the model needs consistent numerical inputs, and missing information may itself carry information. Fitting preprocessing on dev data would let evaluation data influence training. A missing value or a model error alone is not evidence that a label is wrong.</w:t>
      </w:r>
    </w:p>
    <w:p>
      <w:pPr>
        <w:pStyle w:val="Heading2"/>
      </w:pPr>
      <w:r>
        <w:t>Step 4 Reserve each dataset for its intended role</w:t>
      </w:r>
    </w:p>
    <w:tbl>
      <w:tblPr>
        <w:tblW w:type="auto" w:w="0"/>
        <w:jc w:val="center"/>
        <w:tblLayout w:type="fixed"/>
        <w:tblLook w:firstColumn="1" w:firstRow="1" w:lastColumn="0" w:lastRow="0" w:noHBand="0" w:noVBand="1" w:val="04A0"/>
      </w:tblPr>
      <w:tblGrid>
        <w:gridCol w:w="1944"/>
        <w:gridCol w:w="1440"/>
        <w:gridCol w:w="6696"/>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Partition</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Applicants</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Purpose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Training</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184,506</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Fit preprocessing and network weights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Blackbox dev</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61,002</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Choose checkpoints and thresholds; compare models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Eyeball dev</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500</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Inspect individual errors and develop hypotheses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Test</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61,503</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Exploratory final evaluation; prior exposure disclosed</w:t>
            </w:r>
          </w:p>
        </w:tc>
      </w:tr>
    </w:tbl>
    <w:p>
      <w:pPr>
        <w:spacing w:after="0"/>
      </w:pPr>
    </w:p>
    <w:p>
      <w:r>
        <w:rPr>
          <w:sz w:val="22"/>
        </w:rPr>
        <w:t>The original split is approximately 60/20/20. We reserve 500 dev applicants for eyeball review and use the remaining 61,002 for blackbox comparisons. The current model makes 95 mistakes on the fixed eyeball pool; all are exported, rather than selecting a favorable subset.</w:t>
      </w:r>
    </w:p>
    <w:p>
      <w:r>
        <w:rPr>
          <w:b w:val="0"/>
        </w:rPr>
        <w:t>Historical limitation: earlier development used the entire dev set, and an earlier test evaluation overlapped the current test subset. The corrected separation governs current runs but cannot erase that exposure. We cannot describe the current test subset as a pristine holdout.</w:t>
      </w:r>
    </w:p>
    <w:p>
      <w:pPr>
        <w:pStyle w:val="Heading2"/>
      </w:pPr>
      <w:r>
        <w:t>Step 5 Fit the reference network</w:t>
      </w:r>
    </w:p>
    <w:p>
      <w:r>
        <w:rPr>
          <w:sz w:val="22"/>
        </w:rPr>
        <w:t>The feedforward network has ReLU hidden layers of 64 and 32 units, a single logit, unweighted binary cross-entropy and Adam with learning rate 0.001 and weight decay 0.0001. Training uses batches of 256 for 15 epochs. Seed 42 selects epoch 10 by blackbox AUC. Gender is excluded; age remains an input.</w:t>
      </w:r>
    </w:p>
    <w:p>
      <w:r>
        <w:rPr>
          <w:b w:val="0"/>
        </w:rPr>
        <w:t>Checkpoint restoration limits damage from late training. It does not mean training stops early: the current code finishes the budget and restores the best weights. Separate three-seed experiments check sensitivity to initialization and batch order, not variation across new datasets.</w:t>
      </w:r>
    </w:p>
    <w:p>
      <w:r/>
    </w:p>
    <w:p>
      <w:pPr>
        <w:pStyle w:val="Heading1"/>
        <w:pageBreakBefore/>
      </w:pPr>
      <w:r>
        <w:t>Evaluation and deployment questions</w:t>
      </w:r>
    </w:p>
    <w:p>
      <w:pPr>
        <w:pStyle w:val="Heading2"/>
      </w:pPr>
      <w:r>
        <w:t>Step 6 Separate ranking from classification</w:t>
      </w:r>
    </w:p>
    <w:p>
      <w:r>
        <w:rPr>
          <w:sz w:val="22"/>
        </w:rPr>
        <w:t>AUC assesses ranking across cutoffs. Accuracy, precision, recall, F1 and false-positive rate describe the operating point. The selected cutoff is 12.1 percent: a score of at least 0.121 is flagged as TARGET 1. This is an F1-selected score cutoff, not a calibrated probability or a known business-cost optimum.</w:t>
      </w:r>
    </w:p>
    <w:tbl>
      <w:tblPr>
        <w:tblW w:type="auto" w:w="0"/>
        <w:jc w:val="center"/>
        <w:tblLayout w:type="fixed"/>
        <w:tblLook w:firstColumn="1" w:firstRow="1" w:lastColumn="0" w:lastRow="0" w:noHBand="0" w:noVBand="1" w:val="04A0"/>
      </w:tblPr>
      <w:tblGrid>
        <w:gridCol w:w="6768"/>
        <w:gridCol w:w="3312"/>
      </w:tblGrid>
      <w:tr>
        <w:trPr>
          <w:cantSplit/>
          <w:tblHeader/>
        </w:trPr>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Final seed 42 model</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Blackbox / test</w:t>
            </w:r>
          </w:p>
        </w:tc>
      </w:tr>
      <w:tr>
        <w:trPr>
          <w:cantSplit/>
        </w:trPr>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AUC</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0.7468 / 0.7495</w:t>
            </w:r>
          </w:p>
        </w:tc>
      </w:tr>
      <w:tr>
        <w:trPr>
          <w:cantSplit/>
        </w:trPr>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Accuracy</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83.33% / 83.75%</w:t>
            </w:r>
          </w:p>
        </w:tc>
      </w:tr>
      <w:tr>
        <w:trPr>
          <w:cantSplit/>
        </w:trPr>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Precision for difficulty</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22.41% / 23.03%</w:t>
            </w:r>
          </w:p>
        </w:tc>
      </w:tr>
      <w:tr>
        <w:trPr>
          <w:cantSplit/>
        </w:trPr>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Recall for difficulty</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43.23% / 43.26%</w:t>
            </w:r>
          </w:p>
        </w:tc>
      </w:tr>
      <w:tr>
        <w:trPr>
          <w:cantSplit/>
        </w:trPr>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F1 for difficulty</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0.2951 / 0.3006</w:t>
            </w:r>
          </w:p>
        </w:tc>
      </w:tr>
      <w:tr>
        <w:trPr>
          <w:cantSplit/>
        </w:trPr>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False-positive rate</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13.15% / 12.69%</w:t>
            </w:r>
          </w:p>
        </w:tc>
      </w:tr>
    </w:tbl>
    <w:p>
      <w:pPr>
        <w:spacing w:after="0"/>
      </w:pPr>
    </w:p>
    <w:p>
      <w:r>
        <w:rPr>
          <w:sz w:val="22"/>
        </w:rPr>
        <w:t>At the selected cutoff, blackbox counts are 48,704 true negatives, 7,373 false positives, 2,796 false negatives and 2,129 true positives. Predicting no difficulty for everyone would achieve about 91.9 percent accuracy but zero difficulty recall, so accuracy alone is inappropriate.</w:t>
      </w:r>
    </w:p>
    <w:p>
      <w:r>
        <w:rPr>
          <w:sz w:val="22"/>
        </w:rPr>
        <w:t>AUC remains the optimizing metric within the application-only scope. The October 13 audit required at least 0.001 mean AUC gain and improvement in all three seeds before switching for performance. None of seven alternatives met that rule. F1 and matched-FPR recall exposed tradeoffs; fairness was measured without inventing a post hoc acceptable gap.</w:t>
      </w:r>
    </w:p>
    <w:p>
      <w:pPr>
        <w:pStyle w:val="Heading2"/>
      </w:pPr>
      <w:r>
        <w:t>Step 7 Explain the three splitting questions</w:t>
      </w:r>
    </w:p>
    <w:p>
      <w:r>
        <w:rPr>
          <w:b w:val="0"/>
        </w:rPr>
        <w:t>Random splitting asks about applicants from the same source population. Stratifying by TARGET keeps outcome proportions stable; it does not make the model demographically fair. It is our main development split.</w:t>
      </w:r>
    </w:p>
    <w:p>
      <w:r>
        <w:t>We rejected the original low-loan-amount split as a weak deployment premise. Bureau-history and previous-application scenarios were explored. We chose the latter for its clear question about transfer to applicants without prior Home Credit records. A chronological split could be useful, but no reliable common application timeline has been established; relative history dates are insufficient.</w:t>
      </w:r>
    </w:p>
    <w:p>
      <w:r>
        <w:t>The previous-application scenario is our selected nonrandom option. Train and validate on different applicants with recorded prior Home Credit applications; test on applicants without those records. It is not a progression from rich history to little history to minimal history. Application history is also not the same as credit-score availability. The count defines membership only and is excluded from predictors.</w:t>
      </w:r>
    </w:p>
    <w:p>
      <w:r>
        <w:rPr>
          <w:sz w:val="22"/>
        </w:rPr>
        <w:t>The updated split notebook uses the gender-excluded configuration for all three protocols. Random and stratified have equal partition counts. Test AUC / recall are stratified 0.7495 / 43.3%, random 0.7503 / 45.9%, and no prior application 0.7685 / 35.5%. Populations differ, so these scores do not rank which deployment question is best. All exclude the 500 eyeball IDs.</w:t>
      </w:r>
    </w:p>
    <w:p>
      <w:r/>
    </w:p>
    <w:p>
      <w:pPr>
        <w:pStyle w:val="Heading1"/>
        <w:pageBreakBefore/>
      </w:pPr>
      <w:r>
        <w:t>Bureau availability within the deployment test</w:t>
      </w:r>
    </w:p>
    <w:p>
      <w:pPr>
        <w:pStyle w:val="Heading2"/>
      </w:pPr>
      <w:r>
        <w:t>Step 7 continued Analyze the held out population</w:t>
      </w:r>
    </w:p>
    <w:p>
      <w:r>
        <w:t>We joined bureau-record availability onto the saved previous-application test predictions. All 16,421 test applicants lack recorded prior Home Credit applications. Of those, 13,956 have an eligible bureau record and 2,465 have none. Eligibility requires DAYS_CREDIT &lt;= 0; future or missing credit dates do not establish application-time history. No record does not prove a person has never borrowed.</w:t>
      </w:r>
    </w:p>
    <w:p>
      <w:r>
        <w:t>Bureau availability is an analysis label only. It did not enter the neural network, change the split, or change any prediction. This is distinct from the earlier historical experiment that added bureau features to a model.</w:t>
      </w:r>
    </w:p>
    <w:p>
      <w:pPr>
        <w:pStyle w:val="Heading2"/>
      </w:pPr>
      <w:r>
        <w:t>Keep the threshold attached to its model</w:t>
      </w:r>
    </w:p>
    <w:p>
      <w:r>
        <w:rPr>
          <w:sz w:val="22"/>
        </w:rPr>
        <w:t>The no-prior-application model selects a 14.4 percent cutoff on its own known-history dev set; the main stratified model uses 12.1 percent. We freeze each cutoff before its test evaluation. Bureau availability is only an audit label here, so joining it does not require retuning or change predictions.</w:t>
      </w:r>
    </w:p>
    <w:tbl>
      <w:tblPr>
        <w:tblW w:type="auto" w:w="0"/>
        <w:jc w:val="center"/>
        <w:tblLayout w:type="fixed"/>
        <w:tblLook w:firstColumn="1" w:firstRow="1" w:lastColumn="0" w:lastRow="0" w:noHBand="0" w:noVBand="1" w:val="04A0"/>
      </w:tblPr>
      <w:tblGrid>
        <w:gridCol w:w="4320"/>
        <w:gridCol w:w="2880"/>
        <w:gridCol w:w="2880"/>
      </w:tblGrid>
      <w:tr>
        <w:trPr>
          <w:cantSplit/>
          <w:tblHeader/>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EF3"/>
          </w:tcPr>
          <w:p>
            <w:pPr>
              <w:spacing w:after="40" w:before="40"/>
            </w:pPr>
            <w:r>
              <w:rPr>
                <w:b/>
                <w:sz w:val="20"/>
              </w:rPr>
              <w:t>Measure</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EF3"/>
          </w:tcPr>
          <w:p>
            <w:pPr>
              <w:spacing w:after="40" w:before="40"/>
              <w:jc w:val="center"/>
            </w:pPr>
            <w:r>
              <w:rPr>
                <w:b/>
                <w:sz w:val="20"/>
              </w:rPr>
              <w:t>Bureau record present</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EF3"/>
          </w:tcPr>
          <w:p>
            <w:pPr>
              <w:spacing w:after="40" w:before="40"/>
              <w:jc w:val="center"/>
            </w:pPr>
            <w:r>
              <w:rPr>
                <w:b/>
                <w:sz w:val="20"/>
              </w:rPr>
              <w:t>No eligible bureau record</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20"/>
              </w:rPr>
              <w:t>Applicants</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b w:val="0"/>
                <w:sz w:val="20"/>
              </w:rPr>
              <w:t>13,956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b w:val="0"/>
                <w:sz w:val="20"/>
              </w:rPr>
              <w:t>2,465</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20"/>
              </w:rPr>
              <w:t>Difficulty prevalence</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b w:val="0"/>
                <w:sz w:val="20"/>
              </w:rPr>
              <w:t>5.7%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b w:val="0"/>
                <w:sz w:val="20"/>
              </w:rPr>
              <w:t>7.3%</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20"/>
              </w:rPr>
              <w:t>AUC</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r>
              <w:t>0.7664</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r>
              <w:t>0.7794</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20"/>
              </w:rPr>
              <w:t>Accuracy</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r>
              <w:t>88.4%</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r>
              <w:t>88.9%</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20"/>
              </w:rPr>
              <w:t>Precision</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r>
              <w:t>20.3%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r>
              <w:t>29.5%</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20"/>
              </w:rPr>
              <w:t>Recall</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r>
              <w:t>35.1%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r>
              <w:t>37.2%</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20"/>
              </w:rPr>
              <w:t>F1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r>
              <w:t>0.2572</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r>
              <w:t>0.3292</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b w:val="0"/>
                <w:sz w:val="20"/>
              </w:rPr>
              <w:t>False-positive rate</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r>
              <w:t>8.4%</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r>
              <w:t>7.0%</w:t>
            </w:r>
          </w:p>
        </w:tc>
      </w:tr>
    </w:tbl>
    <w:p>
      <w:pPr>
        <w:pStyle w:val="Heading2"/>
      </w:pPr>
      <w:r>
        <w:t>What this changes in the interpretation</w:t>
      </w:r>
    </w:p>
    <w:p>
      <w:r>
        <w:rPr>
          <w:sz w:val="22"/>
        </w:rPr>
        <w:t>No eligible bureau record is not uniformly associated with worse performance: its AUC and recall are higher and FPR lower in this evaluation. The groups have different prevalence and uncertainty. Missing a bureau record is not proof of no credit history, and these comparisons do not identify a causal effect of bureau availability.</w:t>
      </w:r>
    </w:p>
    <w:p>
      <w:r>
        <w:rPr>
          <w:sz w:val="22"/>
        </w:rPr>
        <w:t>This bureau audit does not change the main 95-error spreadsheet. It describes the separate nonrandom test population. If the intended deployment actually targets new clients, a future development set should represent those clients too; the current known-history dev set tests transfer without adapting to that group.</w:t>
      </w:r>
    </w:p>
    <w:p>
      <w:r/>
    </w:p>
    <w:p>
      <w:pPr>
        <w:pStyle w:val="Heading1"/>
        <w:pageBreakBefore/>
      </w:pPr>
      <w:r>
        <w:t>Error analysis from individual cases to hypotheses</w:t>
      </w:r>
    </w:p>
    <w:p>
      <w:pPr>
        <w:pStyle w:val="Heading2"/>
      </w:pPr>
      <w:r>
        <w:t>Step 8 Review the full eyeball error inventory</w:t>
      </w:r>
    </w:p>
    <w:p>
      <w:r>
        <w:rPr>
          <w:sz w:val="22"/>
        </w:rPr>
        <w:t>The fixed pool contains 500 applicants. The current model produces 95 errors: 67 false positives and 28 false negatives. The spreadsheet includes relevant raw features, scores, error types, candidate patterns and assistant-drafted notes. Team members must verify those notes before claiming manual review is complete.</w:t>
      </w:r>
    </w:p>
    <w:p>
      <w:r>
        <w:rPr>
          <w:sz w:val="22"/>
        </w:rPr>
        <w:t>Ninety-one errors have a correct-case comparison from the same eyeball pool, matched on actual class and EXT_SOURCE_2 within 0.05, with replacement. Four are unmatched. Correct cases show whether an apparent error property also occurs when the model succeeds; they do not establish causal explanations.</w:t>
      </w:r>
    </w:p>
    <w:p>
      <w:pPr>
        <w:pStyle w:val="Heading2"/>
      </w:pPr>
      <w:r>
        <w:t>Step 9 Look for patterns with denominators</w:t>
      </w:r>
    </w:p>
    <w:tbl>
      <w:tblPr>
        <w:tblW w:type="auto" w:w="0"/>
        <w:jc w:val="center"/>
        <w:tblLayout w:type="fixed"/>
        <w:tblLook w:firstColumn="1" w:firstRow="1" w:lastColumn="0" w:lastRow="0" w:noHBand="0" w:noVBand="1" w:val="04A0"/>
      </w:tblPr>
      <w:tblGrid>
        <w:gridCol w:w="4320"/>
        <w:gridCol w:w="1512"/>
        <w:gridCol w:w="4248"/>
      </w:tblGrid>
      <w:tr>
        <w:trPr>
          <w:cantSplit/>
          <w:tblHeader/>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Eyeball subgroup</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Errors / eligible</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Interpretation</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Age 45+ with difficulty and EXT_SOURCE_2 ≥ 0.50</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11 / 12</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Frequent misses in a very small subgroup</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Under 30 without difficulty and EXT_SOURCE_3 &lt; 0.25</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7 / 13</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False alarms despite no recorded difficulty</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Any external score missing</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57 / 324</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17.6% error rate</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All external scores present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38 / 176</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21.6% error rate</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Score within 0.02 of threshold</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20 / 43</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46.5% error rate; 21.1% of errors</w:t>
            </w:r>
          </w:p>
        </w:tc>
      </w:tr>
    </w:tbl>
    <w:p>
      <w:pPr>
        <w:spacing w:after="0"/>
      </w:pPr>
    </w:p>
    <w:p>
      <w:r>
        <w:rPr>
          <w:sz w:val="22"/>
        </w:rPr>
        <w:t>These overlapping, sometimes small groups suggest hypotheses rather than causes. Missing scores did not raise overall error in this eyeball sample, but the larger blackbox showed a modest opposite association. Nine recorded hypothesis checks are detailed in the separate error-analysis report.</w:t>
      </w:r>
    </w:p>
    <w:p>
      <w:pPr>
        <w:pStyle w:val="Heading2"/>
      </w:pPr>
      <w:r>
        <w:t>Step 10 Prioritize and test an intervention</w:t>
      </w:r>
    </w:p>
    <w:p>
      <w:r>
        <w:rPr>
          <w:b w:val="0"/>
        </w:rPr>
        <w:t>Prioritize recurring errors and potential borrower harm, then test a limited change using blackbox-only selection. More numerous false positives do not automatically make false negatives unimportant. No verified label corruption has been found, so we have not relabeled or removed records merely because predictions disagree. [E pp. 2–3]</w:t>
      </w:r>
    </w:p>
    <w:p>
      <w:r>
        <w:rPr>
          <w:b w:val="0"/>
        </w:rPr>
        <w:t>The loop is: eyeball observation → proposed explanation → intervention → blackbox comparison → keep or reject → review a newly selected model if adopted. We have implemented the loop at the model-comparison level. We have not demonstrated the cause of every error, and we do not need to invent one to complete the review.</w:t>
      </w:r>
    </w:p>
    <w:p>
      <w:r/>
    </w:p>
    <w:p>
      <w:pPr>
        <w:pStyle w:val="Heading1"/>
        <w:pageBreakBefore/>
      </w:pPr>
      <w:r>
        <w:t>Experiments and the bias variance diagnosis</w:t>
      </w:r>
    </w:p>
    <w:p>
      <w:pPr>
        <w:pStyle w:val="Heading2"/>
      </w:pPr>
      <w:r>
        <w:t>Step 11 Record the evidence for each intervention</w:t>
      </w:r>
    </w:p>
    <w:tbl>
      <w:tblPr>
        <w:tblW w:type="auto" w:w="0"/>
        <w:jc w:val="center"/>
        <w:tblLayout w:type="fixed"/>
        <w:tblLook w:firstColumn="1" w:firstRow="1" w:lastColumn="0" w:lastRow="0" w:noHBand="0" w:noVBand="1" w:val="04A0"/>
      </w:tblPr>
      <w:tblGrid>
        <w:gridCol w:w="2304"/>
        <w:gridCol w:w="5544"/>
        <w:gridCol w:w="2232"/>
      </w:tblGrid>
      <w:tr>
        <w:trPr>
          <w:cantSplit/>
          <w:tblHeade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Experiment</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Observed result</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Current decision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Missingness indicators</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Historical AUC improved across seeds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Retained in baseline</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Widths and depths</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Historical dev performance essentially tied</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Keep 64 and 32</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External-score summaries</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Blackbox AUC 0.74744 → 0.74832; matched-FPR recall did not improve</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 replacement</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Oversampling</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Blackbox AUC fell to 0.74373</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Not retained</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Class weighting</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Large fixed-cutoff recall gain brought many false alarms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 clear improvement at matched FPR</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Weight decay</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AUC 0.74919; younger low-score false alarms 63.9% → 56.7%</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Selected by AUC; disclose tradeoffs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Bureau and repayment information</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Historical ranking gains; some F1 gains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Omitted for chosen scope, not lack of value</w:t>
            </w:r>
          </w:p>
        </w:tc>
      </w:tr>
    </w:tbl>
    <w:p>
      <w:pPr>
        <w:spacing w:after="0"/>
      </w:pPr>
    </w:p>
    <w:p>
      <w:r>
        <w:rPr>
          <w:sz w:val="22"/>
        </w:rPr>
        <w:t>The table records historical experiments, including gender-inclusive models. It must not be presented as new proof for the current model. The October 13 audit repeats architecture, weight decay and age comparisons on the gender-excluded model and tests ratio and score-interaction remedies suggested by error patterns.</w:t>
      </w:r>
    </w:p>
    <w:p>
      <w:pPr>
        <w:pStyle w:val="Heading2"/>
      </w:pPr>
      <w:r>
        <w:t>Step 12 Diagnose bias and variance separately from fairness</w:t>
      </w:r>
    </w:p>
    <w:tbl>
      <w:tblPr>
        <w:tblW w:type="auto" w:w="0"/>
        <w:jc w:val="center"/>
        <w:tblLayout w:type="fixed"/>
        <w:tblLook w:firstColumn="1" w:firstRow="1" w:lastColumn="0" w:lastRow="0" w:noHBand="0" w:noVBand="1" w:val="04A0"/>
      </w:tblPr>
      <w:tblGrid>
        <w:gridCol w:w="4608"/>
        <w:gridCol w:w="2736"/>
        <w:gridCol w:w="2736"/>
      </w:tblGrid>
      <w:tr>
        <w:trPr>
          <w:cantSplit/>
          <w:tblHeader/>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Checkpoint</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Training AUC</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Blackbox AUC</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Epoch 5 selected</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0.7613</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0.7485</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Epoch 15</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0.7941</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0.7394</w:t>
            </w:r>
          </w:p>
        </w:tc>
      </w:tr>
    </w:tbl>
    <w:p>
      <w:pPr>
        <w:spacing w:after="0"/>
      </w:pPr>
    </w:p>
    <w:p>
      <w:r>
        <w:rPr>
          <w:sz w:val="22"/>
        </w:rPr>
        <w:t>The historical table shows late-training overfit in the older unregularized model. The current gender-excluded model selects epoch 10: training AUC is 0.7595 and blackbox AUC 0.7468, a gap of 0.0126. Fresh three-seed tests support weight decay; wider or deeper networks do not consistently improve the result.</w:t>
      </w:r>
    </w:p>
    <w:p>
      <w:r>
        <w:rPr>
          <w:b w:val="0"/>
        </w:rPr>
        <w:t>Historical training-pattern checks found the same older high-score misses and younger low-score false alarms in training and dev. The patterns are not solely a failure to generalize. However, we lack an expert or unavoidable-error benchmark, so we cannot quantify avoidable bias or declare that remaining errors prove underfitting. AUC gaps are diagnostics, not an exact bias–variance decomposition. [B pp. 3–4]</w:t>
      </w:r>
    </w:p>
    <w:p>
      <w:r>
        <w:rPr>
          <w:b w:val="0"/>
        </w:rPr>
        <w:t>Fairness bias means group disparities; statistical bias here concerns model fit. False negatives do not automatically imply underfitting, and false positives do not automatically imply overfitting. Testing more architectures is not required just to produce another experiment.</w:t>
      </w:r>
    </w:p>
    <w:p>
      <w:r/>
    </w:p>
    <w:p>
      <w:pPr>
        <w:pStyle w:val="Heading1"/>
        <w:pageBreakBefore/>
      </w:pPr>
      <w:r>
        <w:t>Fairness and the limits of input removal</w:t>
      </w:r>
    </w:p>
    <w:p>
      <w:pPr>
        <w:pStyle w:val="Heading2"/>
      </w:pPr>
      <w:r>
        <w:t>Step 13 Choose fairness criteria based on harm</w:t>
      </w:r>
    </w:p>
    <w:p>
      <w:r>
        <w:rPr>
          <w:b w:val="0"/>
        </w:rPr>
        <w:t>Our primary audit is false-positive-rate parity by recorded gender and age: among applicants without difficulty, how often are they incorrectly flagged? If used in lending, such flags could affect access to credit. We also track difficulty recall and FPR jointly for equal odds, favorable prediction rates for demographic parity, precision for PPV parity, and NPV. [F pp. 3–7]</w:t>
      </w:r>
    </w:p>
    <w:p>
      <w:r>
        <w:rPr>
          <w:b w:val="0"/>
        </w:rPr>
        <w:t>Equal opportunity depends on which outcome is called positive. Our recall measures detection of difficulty. For the favorable outcome, the comparable recall is specificity, or 1 − FPR. We report group denominators, descriptive Wilson intervals and rate gaps; no acceptable-gap tolerance has been agreed. Small groups, especially the one XNA record, cannot support a fairness conclusion.</w:t>
      </w:r>
    </w:p>
    <w:p>
      <w:pPr>
        <w:pStyle w:val="Heading2"/>
      </w:pPr>
      <w:r>
        <w:t>Step 14 Measure the selected model disparities</w:t>
      </w:r>
    </w:p>
    <w:p>
      <w:r>
        <w:rPr>
          <w:sz w:val="22"/>
        </w:rPr>
        <w:t>Current blackbox gender FPR is 11.2% for women and 17.0% for men; difficulty recall is 39.2% and 48.6%. Age FPR is 25.0% under 30 versus 2.8% at 60 and older. These disparities matter even with gender excluded. XNA has one record and cannot support a reliable group conclusion.</w:t>
      </w:r>
    </w:p>
    <w:p>
      <w:pPr>
        <w:pStyle w:val="Heading2"/>
      </w:pPr>
      <w:r>
        <w:t>Step 15 Test removing age and gender</w:t>
      </w:r>
    </w:p>
    <w:tbl>
      <w:tblPr>
        <w:tblW w:type="auto" w:w="0"/>
        <w:jc w:val="center"/>
        <w:tblLayout w:type="fixed"/>
        <w:tblLook w:firstColumn="1" w:firstRow="1" w:lastColumn="0" w:lastRow="0" w:noHBand="0" w:noVBand="1" w:val="04A0"/>
      </w:tblPr>
      <w:tblGrid>
        <w:gridCol w:w="5256"/>
        <w:gridCol w:w="1728"/>
        <w:gridCol w:w="3096"/>
      </w:tblGrid>
      <w:tr>
        <w:trPr>
          <w:cantSplit/>
          <w:tblHeader/>
        </w:trPr>
        <w:tc>
          <w:tcPr>
            <w:tcW w:type="dxa" w:w="52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Three seed mean at matched overall FPR</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Baseline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Without age and gender</w:t>
            </w:r>
          </w:p>
        </w:tc>
      </w:tr>
      <w:tr>
        <w:trPr>
          <w:cantSplit/>
        </w:trPr>
        <w:tc>
          <w:tcPr>
            <w:tcW w:type="dxa" w:w="52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Gender FPR gap in percentage points</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10.23</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6.49</w:t>
            </w:r>
          </w:p>
        </w:tc>
      </w:tr>
      <w:tr>
        <w:trPr>
          <w:cantSplit/>
        </w:trPr>
        <w:tc>
          <w:tcPr>
            <w:tcW w:type="dxa" w:w="52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Age FPR gap in percentage points</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24.57</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26.22</w:t>
            </w:r>
          </w:p>
        </w:tc>
      </w:tr>
      <w:tr>
        <w:trPr>
          <w:cantSplit/>
        </w:trPr>
        <w:tc>
          <w:tcPr>
            <w:tcW w:type="dxa" w:w="52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Overall recall</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43.1%</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42.2%</w:t>
            </w:r>
          </w:p>
        </w:tc>
      </w:tr>
      <w:tr>
        <w:trPr>
          <w:cantSplit/>
        </w:trPr>
        <w:tc>
          <w:tcPr>
            <w:tcW w:type="dxa" w:w="52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Overall AUC</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0.74744</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0.74426</w:t>
            </w:r>
          </w:p>
        </w:tc>
      </w:tr>
    </w:tbl>
    <w:p>
      <w:pPr>
        <w:spacing w:after="0"/>
      </w:pPr>
    </w:p>
    <w:p>
      <w:r>
        <w:rPr>
          <w:sz w:val="22"/>
        </w:rPr>
        <w:t>This historical sensitivity table removed both age and gender from an older unregularized baseline. It narrowed the gender gap but widened the age gap. Current gender exclusion is now adopted; the separate fresh audit removes age from that gender-excluded model for an appropriate current comparison.</w:t>
      </w:r>
    </w:p>
    <w:p>
      <w:r>
        <w:rPr>
          <w:sz w:val="22"/>
        </w:rPr>
        <w:t>The current model excludes gender and retains age. Removing age lowered AUC in all three seeds by 0.002015 on average and widened the age FPR gap at matched overall FPR from 22.30 to 25.69 points. This supports a classroom performance tradeoff, not legal compliance or acceptable fairness. Proxies remain and no deployment approval is claimed.</w:t>
      </w:r>
    </w:p>
    <w:p>
      <w:r>
        <w:rPr>
          <w:b w:val="0"/>
        </w:rPr>
        <w:t>Formula note: the lecture’s equal-odds prose calls an FPR expression FNR; its NPV expression is specificity. Our code reports actual NPV = TN/(TN+FN) and specificity = TN/(TN+FP).</w:t>
      </w:r>
    </w:p>
    <w:p>
      <w:r/>
    </w:p>
    <w:p>
      <w:pPr>
        <w:pStyle w:val="Heading1"/>
        <w:pageBreakBefore/>
      </w:pPr>
      <w:r>
        <w:t>Coverage review and decisions still open</w:t>
      </w:r>
    </w:p>
    <w:p>
      <w:r>
        <w:rPr>
          <w:b w:val="0"/>
        </w:rPr>
        <w:t>The three lectures guide an iterative process. They do not require every proposed remedy to improve the model. The assignment adds explicit deliverables and a three-split comparison. The following status distinguishes implemented work from human or project decisions still pending.</w:t>
      </w:r>
    </w:p>
    <w:tbl>
      <w:tblPr>
        <w:tblW w:type="auto" w:w="0"/>
        <w:jc w:val="center"/>
        <w:tblLayout w:type="fixed"/>
        <w:tblLook w:firstColumn="1" w:firstRow="1" w:lastColumn="0" w:lastRow="0" w:noHBand="0" w:noVBand="1" w:val="04A0"/>
      </w:tblPr>
      <w:tblGrid>
        <w:gridCol w:w="3816"/>
        <w:gridCol w:w="1728"/>
        <w:gridCol w:w="4536"/>
      </w:tblGrid>
      <w:tr>
        <w:trPr>
          <w:cantSplit/>
          <w:tblHeade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Requirement or practice</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Status</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What remains</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Export and examine eyeball mistakes [E]</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Partial</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95 current drafts need team verification</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Separate eyeball and blackbox roles [E]</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Implemented now</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Disclose historical full-dev use</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Prioritize errors and test fixes [E]</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Implemented</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Verify notes and summarize keep/reject reasoning</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Repair proven data problems [E]</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 proven issue</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Do not alter labels without evidence</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Choose and compute fairness criteria [F, P]</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Implemented</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Criteria chosen; gaps reported without a pass/fail cutoff</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Remove sensitive inputs and consider proxies [F]</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Partial</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Gender excluded; age retained with measured tradeoff; proxies remain</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Compare train and dev and mitigate overfit [B]</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Implemented</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Checkpoint evidence and diagnosis documented</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Estimate avoidable bias [B]</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Not established</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Document missing attainable-error benchmark</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Three split strategies and deployment rationale [P]</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Implemented</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Previous-application scenario selected; comparisons saved</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Single optimizing model metric [P]</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Settled</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AUC within chosen scope; practical switching rule; F1 threshold</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Final model evaluation [P]</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Executed</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Frozen model evaluated; prior exposure disclosed</w:t>
            </w:r>
          </w:p>
        </w:tc>
      </w:tr>
    </w:tbl>
    <w:p>
      <w:pPr>
        <w:spacing w:after="0"/>
      </w:pPr>
    </w:p>
    <w:p>
      <w:pPr>
        <w:pStyle w:val="Heading2"/>
      </w:pPr>
      <w:r>
        <w:t>Decision order before changing notebooks</w:t>
      </w:r>
    </w:p>
    <w:p>
      <w:r>
        <w:rPr>
          <w:sz w:val="22"/>
        </w:rPr>
        <w:t>Before submission: verify the 95 draft error notes; summarize supported and unsupported blackbox hypotheses; report failed as well as successful remedies; preserve the current model and split rationale; and state the remaining fairness and historical evaluation-exposure limitations. No additional model change is justified by the new audit.</w:t>
      </w:r>
    </w:p>
    <w:p>
      <w:r>
        <w:rPr>
          <w:b w:val="0"/>
        </w:rPr>
        <w:t>Completion does not require a dramatic gain, a proven cause for every mistake, or perfect fairness. It requires an accurate account of what was tested, what happened, what was retained, and what limitations remain.</w:t>
      </w:r>
    </w:p>
    <w:p>
      <w:r/>
    </w:p>
    <w:p>
      <w:pPr>
        <w:pStyle w:val="Heading1"/>
        <w:pageBreakBefore/>
      </w:pPr>
      <w:r>
        <w:t>Notebook map and future change record</w:t>
      </w:r>
    </w:p>
    <w:p>
      <w:pPr>
        <w:pStyle w:val="Heading2"/>
      </w:pPr>
      <w:r>
        <w:t>Where the current evidence lives</w:t>
      </w:r>
    </w:p>
    <w:p>
      <w:r>
        <w:rPr>
          <w:sz w:val="22"/>
        </w:rPr>
        <w:t>Gil_Project2.ipynb: selected model, metrics and fairness.</w:t>
        <w:br/>
        <w:t>Error_Analysis.ipynb: fixed eyeball review and exports.</w:t>
        <w:br/>
        <w:t>Blackbox_Error_Hypotheses.ipynb: nine hypothesis checks.</w:t>
        <w:br/>
        <w:t>Final_Split_Comparison.ipynb: three updated protocols and bureau audit.</w:t>
        <w:br/>
        <w:t>Decision_Audit.ipynb: 24-fit audit, threshold and calibration results.</w:t>
        <w:br/>
        <w:t>Historical intervention notebooks: retain as supporting evidence.</w:t>
      </w:r>
    </w:p>
    <w:p>
      <w:pPr>
        <w:pStyle w:val="Heading2"/>
      </w:pPr>
      <w:r>
        <w:t>What to simplify after this document is approved</w:t>
      </w:r>
    </w:p>
    <w:p>
      <w:r>
        <w:rPr>
          <w:b w:val="0"/>
        </w:rPr>
        <w:t>Keep the reproducible training path, fixed split checks, selected-model exports, complete error-review workflow, concise metric tables, and decisions tied to evidence. Condense repeated explanations and superseded results into a short historical experiment log. Archive backups and abandoned experiments rather than deleting the only code that supports reported claims. The assignment asks for code used in the project, so presentation cleanup should not erase that record. [P p. 4]</w:t>
      </w:r>
    </w:p>
    <w:p>
      <w:r>
        <w:t>The main workflow has been simplified and rerun. Historical experiment files are preserved rather than deleted. Further cosmetic cleanup must retain code and evidence supporting reported claims.</w:t>
      </w:r>
    </w:p>
    <w:p>
      <w:pPr>
        <w:pStyle w:val="Heading2"/>
      </w:pPr>
      <w:r>
        <w:t>Record each future change</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Field</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before="60"/>
            </w:pPr>
            <w:r>
              <w:rPr>
                <w:b/>
                <w:sz w:val="20"/>
              </w:rPr>
              <w:t>What to record</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Observation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Which error or fairness problem motivates the change?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Hypothesis and change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Why might it help, and what exactly changes?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Evaluation plan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Blackbox metric, comparison threshold and acceptance rule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Result and decision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Magnitude, seed consistency, group tradeoffs and keep/reject</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Traceability</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Date, notebook section and saved model or experiment run</w:t>
            </w:r>
          </w:p>
        </w:tc>
      </w:tr>
    </w:tbl>
    <w:p>
      <w:pPr>
        <w:spacing w:after="0"/>
      </w:pPr>
    </w:p>
    <w:p>
      <w:pPr>
        <w:pStyle w:val="Heading2"/>
      </w:pPr>
      <w:r>
        <w:t>Source guide</w:t>
      </w:r>
    </w:p>
    <w:p>
      <w:r>
        <w:rPr>
          <w:b w:val="0"/>
        </w:rPr>
        <w:t>E  DATA4401-Lec09-Yearning03.pdf, Error Analysis, pp. 1–4.</w:t>
        <w:br/>
        <w:t>F  DATA4401-Lec10-Fairness.pdf, Fairness and Fairness Metrics, pp. 1–7.</w:t>
        <w:br/>
        <w:t>B  DATA4401-Lec11-Yearning04.pdf, Bias vs Variance, pp. 1–5.</w:t>
        <w:br/>
        <w:t>P  DATA4401-Project02.pdf, project instructions, pp. 1–4.</w:t>
      </w:r>
    </w:p>
    <w:p>
      <w:pPr>
        <w:spacing w:before="0" w:after="0"/>
      </w:pPr>
      <w:r>
        <w:rPr>
          <w:sz w:val="20"/>
        </w:rPr>
        <w:t>Current evidence: main run application_no_gender_weight_decay_20261013T064129748622Z; split run 20261013T182318505371Z; audit 20261013T181905Z. Historical intervention and fairness experiments remain labeled historical. The separate error-hypothesis report contains nine blackbox checks and their limitations.</w:t>
      </w:r>
    </w:p>
    <w:p>
      <w:pPr>
        <w:pStyle w:val="Heading1"/>
        <w:pageBreakBefore/>
      </w:pPr>
      <w:r>
        <w:t>Decision audit of the current model</w:t>
      </w:r>
    </w:p>
    <w:p>
      <w:r>
        <w:t>Eight configurations across seeds 42, 43 and 44 used the same train and blackbox rows. The protocol was recorded before results: switch for performance only with mean AUC gain at least 0.001 and improvement in all three seeds. No candidate met it. These seeds measure initialization sensitivity, not independent population replication.</w:t>
      </w:r>
    </w:p>
    <w:tbl>
      <w:tblPr>
        <w:tblW w:type="auto" w:w="0"/>
        <w:tblLook w:firstColumn="1" w:firstRow="1" w:lastColumn="0" w:lastRow="0" w:noHBand="0" w:noVBand="1" w:val="04A0"/>
      </w:tblPr>
      <w:tblGrid>
        <w:gridCol w:w="2520"/>
        <w:gridCol w:w="2520"/>
        <w:gridCol w:w="2520"/>
        <w:gridCol w:w="2520"/>
      </w:tblGrid>
      <w:tr>
        <w:tc>
          <w:tcPr>
            <w:tcW w:type="dxa" w:w="2520"/>
          </w:tcPr>
          <w:p>
            <w:r>
              <w:rPr>
                <w:sz w:val="20"/>
              </w:rPr>
              <w:t>Candidate</w:t>
            </w:r>
          </w:p>
        </w:tc>
        <w:tc>
          <w:tcPr>
            <w:tcW w:type="dxa" w:w="2520"/>
          </w:tcPr>
          <w:p>
            <w:r>
              <w:rPr>
                <w:sz w:val="20"/>
              </w:rPr>
              <w:t>Mean AUC</w:t>
            </w:r>
          </w:p>
        </w:tc>
        <w:tc>
          <w:tcPr>
            <w:tcW w:type="dxa" w:w="2520"/>
          </w:tcPr>
          <w:p>
            <w:r>
              <w:rPr>
                <w:sz w:val="20"/>
              </w:rPr>
              <w:t>AUC change</w:t>
            </w:r>
          </w:p>
        </w:tc>
        <w:tc>
          <w:tcPr>
            <w:tcW w:type="dxa" w:w="2520"/>
          </w:tcPr>
          <w:p>
            <w:r>
              <w:rPr>
                <w:sz w:val="20"/>
              </w:rPr>
              <w:t>Seed wins</w:t>
            </w:r>
          </w:p>
        </w:tc>
      </w:tr>
      <w:tr>
        <w:tc>
          <w:tcPr>
            <w:tcW w:type="dxa" w:w="2520"/>
          </w:tcPr>
          <w:p>
            <w:r>
              <w:rPr>
                <w:sz w:val="20"/>
              </w:rPr>
              <w:t>Current 64 / 32</w:t>
            </w:r>
          </w:p>
        </w:tc>
        <w:tc>
          <w:tcPr>
            <w:tcW w:type="dxa" w:w="2520"/>
          </w:tcPr>
          <w:p>
            <w:r>
              <w:rPr>
                <w:sz w:val="20"/>
              </w:rPr>
              <w:t>0.747075</w:t>
            </w:r>
          </w:p>
        </w:tc>
        <w:tc>
          <w:tcPr>
            <w:tcW w:type="dxa" w:w="2520"/>
          </w:tcPr>
          <w:p>
            <w:r>
              <w:rPr>
                <w:sz w:val="20"/>
              </w:rPr>
              <w:t>+0.000000</w:t>
            </w:r>
          </w:p>
        </w:tc>
        <w:tc>
          <w:tcPr>
            <w:tcW w:type="dxa" w:w="2520"/>
          </w:tcPr>
          <w:p>
            <w:r>
              <w:rPr>
                <w:sz w:val="20"/>
              </w:rPr>
              <w:t>0/3</w:t>
            </w:r>
          </w:p>
        </w:tc>
      </w:tr>
      <w:tr>
        <w:tc>
          <w:tcPr>
            <w:tcW w:type="dxa" w:w="2520"/>
          </w:tcPr>
          <w:p>
            <w:r>
              <w:rPr>
                <w:sz w:val="20"/>
              </w:rPr>
              <w:t>Remove age</w:t>
            </w:r>
          </w:p>
        </w:tc>
        <w:tc>
          <w:tcPr>
            <w:tcW w:type="dxa" w:w="2520"/>
          </w:tcPr>
          <w:p>
            <w:r>
              <w:rPr>
                <w:sz w:val="20"/>
              </w:rPr>
              <w:t>0.745060</w:t>
            </w:r>
          </w:p>
        </w:tc>
        <w:tc>
          <w:tcPr>
            <w:tcW w:type="dxa" w:w="2520"/>
          </w:tcPr>
          <w:p>
            <w:r>
              <w:rPr>
                <w:sz w:val="20"/>
              </w:rPr>
              <w:t>-0.002015</w:t>
            </w:r>
          </w:p>
        </w:tc>
        <w:tc>
          <w:tcPr>
            <w:tcW w:type="dxa" w:w="2520"/>
          </w:tcPr>
          <w:p>
            <w:r>
              <w:rPr>
                <w:sz w:val="20"/>
              </w:rPr>
              <w:t>0/3</w:t>
            </w:r>
          </w:p>
        </w:tc>
      </w:tr>
      <w:tr>
        <w:tc>
          <w:tcPr>
            <w:tcW w:type="dxa" w:w="2520"/>
          </w:tcPr>
          <w:p>
            <w:r>
              <w:rPr>
                <w:sz w:val="20"/>
              </w:rPr>
              <w:t>Remove weight decay</w:t>
            </w:r>
          </w:p>
        </w:tc>
        <w:tc>
          <w:tcPr>
            <w:tcW w:type="dxa" w:w="2520"/>
          </w:tcPr>
          <w:p>
            <w:r>
              <w:rPr>
                <w:sz w:val="20"/>
              </w:rPr>
              <w:t>0.745463</w:t>
            </w:r>
          </w:p>
        </w:tc>
        <w:tc>
          <w:tcPr>
            <w:tcW w:type="dxa" w:w="2520"/>
          </w:tcPr>
          <w:p>
            <w:r>
              <w:rPr>
                <w:sz w:val="20"/>
              </w:rPr>
              <w:t>-0.001612</w:t>
            </w:r>
          </w:p>
        </w:tc>
        <w:tc>
          <w:tcPr>
            <w:tcW w:type="dxa" w:w="2520"/>
          </w:tcPr>
          <w:p>
            <w:r>
              <w:rPr>
                <w:sz w:val="20"/>
              </w:rPr>
              <w:t>0/3</w:t>
            </w:r>
          </w:p>
        </w:tc>
      </w:tr>
      <w:tr>
        <w:tc>
          <w:tcPr>
            <w:tcW w:type="dxa" w:w="2520"/>
          </w:tcPr>
          <w:p>
            <w:r>
              <w:rPr>
                <w:sz w:val="20"/>
              </w:rPr>
              <w:t>32 units</w:t>
            </w:r>
          </w:p>
        </w:tc>
        <w:tc>
          <w:tcPr>
            <w:tcW w:type="dxa" w:w="2520"/>
          </w:tcPr>
          <w:p>
            <w:r>
              <w:rPr>
                <w:sz w:val="20"/>
              </w:rPr>
              <w:t>0.746389</w:t>
            </w:r>
          </w:p>
        </w:tc>
        <w:tc>
          <w:tcPr>
            <w:tcW w:type="dxa" w:w="2520"/>
          </w:tcPr>
          <w:p>
            <w:r>
              <w:rPr>
                <w:sz w:val="20"/>
              </w:rPr>
              <w:t>-0.000686</w:t>
            </w:r>
          </w:p>
        </w:tc>
        <w:tc>
          <w:tcPr>
            <w:tcW w:type="dxa" w:w="2520"/>
          </w:tcPr>
          <w:p>
            <w:r>
              <w:rPr>
                <w:sz w:val="20"/>
              </w:rPr>
              <w:t>1/3</w:t>
            </w:r>
          </w:p>
        </w:tc>
      </w:tr>
      <w:tr>
        <w:tc>
          <w:tcPr>
            <w:tcW w:type="dxa" w:w="2520"/>
          </w:tcPr>
          <w:p>
            <w:r>
              <w:rPr>
                <w:sz w:val="20"/>
              </w:rPr>
              <w:t>128 / 64 units</w:t>
            </w:r>
          </w:p>
        </w:tc>
        <w:tc>
          <w:tcPr>
            <w:tcW w:type="dxa" w:w="2520"/>
          </w:tcPr>
          <w:p>
            <w:r>
              <w:rPr>
                <w:sz w:val="20"/>
              </w:rPr>
              <w:t>0.747544</w:t>
            </w:r>
          </w:p>
        </w:tc>
        <w:tc>
          <w:tcPr>
            <w:tcW w:type="dxa" w:w="2520"/>
          </w:tcPr>
          <w:p>
            <w:r>
              <w:rPr>
                <w:sz w:val="20"/>
              </w:rPr>
              <w:t>+0.000469</w:t>
            </w:r>
          </w:p>
        </w:tc>
        <w:tc>
          <w:tcPr>
            <w:tcW w:type="dxa" w:w="2520"/>
          </w:tcPr>
          <w:p>
            <w:r>
              <w:rPr>
                <w:sz w:val="20"/>
              </w:rPr>
              <w:t>2/3</w:t>
            </w:r>
          </w:p>
        </w:tc>
      </w:tr>
      <w:tr>
        <w:tc>
          <w:tcPr>
            <w:tcW w:type="dxa" w:w="2520"/>
          </w:tcPr>
          <w:p>
            <w:r>
              <w:rPr>
                <w:sz w:val="20"/>
              </w:rPr>
              <w:t>64 / 32 / 16 units</w:t>
            </w:r>
          </w:p>
        </w:tc>
        <w:tc>
          <w:tcPr>
            <w:tcW w:type="dxa" w:w="2520"/>
          </w:tcPr>
          <w:p>
            <w:r>
              <w:rPr>
                <w:sz w:val="20"/>
              </w:rPr>
              <w:t>0.747516</w:t>
            </w:r>
          </w:p>
        </w:tc>
        <w:tc>
          <w:tcPr>
            <w:tcW w:type="dxa" w:w="2520"/>
          </w:tcPr>
          <w:p>
            <w:r>
              <w:rPr>
                <w:sz w:val="20"/>
              </w:rPr>
              <w:t>+0.000441</w:t>
            </w:r>
          </w:p>
        </w:tc>
        <w:tc>
          <w:tcPr>
            <w:tcW w:type="dxa" w:w="2520"/>
          </w:tcPr>
          <w:p>
            <w:r>
              <w:rPr>
                <w:sz w:val="20"/>
              </w:rPr>
              <w:t>2/3</w:t>
            </w:r>
          </w:p>
        </w:tc>
      </w:tr>
      <w:tr>
        <w:tc>
          <w:tcPr>
            <w:tcW w:type="dxa" w:w="2520"/>
          </w:tcPr>
          <w:p>
            <w:r>
              <w:rPr>
                <w:sz w:val="20"/>
              </w:rPr>
              <w:t>Income ratios</w:t>
            </w:r>
          </w:p>
        </w:tc>
        <w:tc>
          <w:tcPr>
            <w:tcW w:type="dxa" w:w="2520"/>
          </w:tcPr>
          <w:p>
            <w:r>
              <w:rPr>
                <w:sz w:val="20"/>
              </w:rPr>
              <w:t>0.747635</w:t>
            </w:r>
          </w:p>
        </w:tc>
        <w:tc>
          <w:tcPr>
            <w:tcW w:type="dxa" w:w="2520"/>
          </w:tcPr>
          <w:p>
            <w:r>
              <w:rPr>
                <w:sz w:val="20"/>
              </w:rPr>
              <w:t>+0.000560</w:t>
            </w:r>
          </w:p>
        </w:tc>
        <w:tc>
          <w:tcPr>
            <w:tcW w:type="dxa" w:w="2520"/>
          </w:tcPr>
          <w:p>
            <w:r>
              <w:rPr>
                <w:sz w:val="20"/>
              </w:rPr>
              <w:t>2/3</w:t>
            </w:r>
          </w:p>
        </w:tc>
      </w:tr>
      <w:tr>
        <w:tc>
          <w:tcPr>
            <w:tcW w:type="dxa" w:w="2520"/>
          </w:tcPr>
          <w:p>
            <w:r>
              <w:rPr>
                <w:sz w:val="20"/>
              </w:rPr>
              <w:t>Score interactions</w:t>
            </w:r>
          </w:p>
        </w:tc>
        <w:tc>
          <w:tcPr>
            <w:tcW w:type="dxa" w:w="2520"/>
          </w:tcPr>
          <w:p>
            <w:r>
              <w:rPr>
                <w:sz w:val="20"/>
              </w:rPr>
              <w:t>0.747689</w:t>
            </w:r>
          </w:p>
        </w:tc>
        <w:tc>
          <w:tcPr>
            <w:tcW w:type="dxa" w:w="2520"/>
          </w:tcPr>
          <w:p>
            <w:r>
              <w:rPr>
                <w:sz w:val="20"/>
              </w:rPr>
              <w:t>+0.000614</w:t>
            </w:r>
          </w:p>
        </w:tc>
        <w:tc>
          <w:tcPr>
            <w:tcW w:type="dxa" w:w="2520"/>
          </w:tcPr>
          <w:p>
            <w:r>
              <w:rPr>
                <w:sz w:val="20"/>
              </w:rPr>
              <w:t>2/3</w:t>
            </w:r>
          </w:p>
        </w:tc>
      </w:tr>
    </w:tbl>
    <w:p>
      <w:r>
        <w:t>The highest mean AUC came from score interactions, but the gain was only 0.000614, occurred in two seeds and did not improve mean F1. Keeping the current model follows the recorded practical rule, not a claim that its mean AUC is largest.</w:t>
      </w:r>
    </w:p>
    <w:p>
      <w:r>
        <w:t>Exact threshold search raised F1 by only 0.000064, supporting retention of 0.121. Five-fold threshold transfer gave F1 0.29441 versus 0.29514. Cross-fitted calibration improved Brier score from 0.068866 to 0.068639 and log loss from 0.252386 to 0.249903. It did not change within-fold ranking; no final calibrator was adopted.</w:t>
      </w:r>
    </w:p>
    <w:p>
      <w:r>
        <w:t>Raw scores average 6.60% against 8.07% observed difficulty, so do not describe them as calibrated probabilities. Calibration remains exploratory because checkpoint selection already used the full blackbox. Historical dev/test exposure, multiple exploratory hypotheses, unresolved fairness acceptance and unverified manual notes limit final claims.</w:t>
      </w:r>
    </w:p>
    <w:p>
      <w:r>
        <w:t>Detailed protocol, saved results and all decision rationales are in Decision_Audit.ipynb and Decision_Audit.md. Main model predictions and the 95-error spreadsheet are unchanged by this audit.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