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Error Analysis Hypotheses</w:t>
      </w:r>
    </w:p>
    <w:p>
      <w:r>
        <w:t>Gil and project team | DATA 4401 | October 13 2026</w:t>
      </w:r>
    </w:p>
    <w:p>
      <w:r>
        <w:t>We used the manual error review to propose explanations, then checked whether those patterns appeared in the larger blackbox validation set. The clearest recurring patterns were missed difficulty among older applicants with high external scores and false alarms among younger applicants with low external scores. Neither pattern establishes its cause. The proposed overprediction explanations were not supported.</w:t>
      </w:r>
    </w:p>
    <w:p>
      <w:pPr>
        <w:pStyle w:val="Heading2"/>
      </w:pPr>
      <w:r>
        <w:t>The model and the review</w:t>
      </w:r>
    </w:p>
    <w:p>
      <w:r>
        <w:t>The frozen application-only neural network has 64 and 32 hidden units, Adam weight decay 0.0001, and a 12.1% classification cutoff chosen by blackbox F1. Gender is excluded from prediction but retained for auditing; age remains an input. We reviewed all 95 errors in the fixed 500-person eyeball set: 67 false positives and 28 false negatives. Blackbox validation contains 61,002 different applicants. TARGET 1 means recorded repayment difficulty, not necessarily permanent default.</w:t>
      </w:r>
    </w:p>
    <w:tbl>
      <w:tblPr>
        <w:tblW w:type="auto" w:w="0"/>
        <w:tblLayout w:type="fixed"/>
        <w:tblLook w:firstColumn="1" w:firstRow="1" w:lastColumn="0" w:lastRow="0" w:noHBand="0" w:noVBand="1" w:val="04A0"/>
      </w:tblPr>
      <w:tblGrid>
        <w:gridCol w:w="5040"/>
        <w:gridCol w:w="5040"/>
      </w:tblGrid>
      <w:tr>
        <w:trPr>
          <w:cantSplit/>
          <w:tblHeader/>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Hypothesis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Blackbox conclusion</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H1 Low EXT2 overprediction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Not supported; average risk is underpredicted</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H2 Credit above four times income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Modest association after score adjustment</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H3 Younger group overprediction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Not supported as the false-alarm explanation</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H4 Older high-score missed difficulty</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Pattern supported</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H5 Younger low-score false alarms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Pattern supported</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H6 Missing external scores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Mixed; more false alarms, fewer missed difficulties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H7 Errors close to the cutoff</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Higher error rate, but only 22.4% of errors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H8 Conflicting external scores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Pattern supported, mainly through false alarms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H9 Employment placeholder</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 higher total error rate; missed difficulty remains</w:t>
            </w:r>
          </w:p>
        </w:tc>
      </w:tr>
    </w:tbl>
    <w:p>
      <w:pPr>
        <w:spacing w:after="0"/>
      </w:pPr>
    </w:p>
    <w:p>
      <w:r>
        <w:t>Scope: these nine hypotheses cover the recurring tags and salient observations in the current case notes. They are not an exhaustive search of every possible feature combination. H1–H3 were tested earlier; H4–H9 were written down before their additional blackbox calculations. The model, cutoff and 95-row review were not changed.</w:t>
      </w:r>
    </w:p>
    <w:p>
      <w:r>
        <w:br w:type="page"/>
      </w:r>
    </w:p>
    <w:p>
      <w:pPr>
        <w:pStyle w:val="Heading1"/>
      </w:pPr>
      <w:r>
        <w:t>Calibration and loan size hypotheses</w:t>
      </w:r>
    </w:p>
    <w:p>
      <w:pPr>
        <w:pStyle w:val="Heading2"/>
      </w:pPr>
      <w:r>
        <w:t>H1 Very low external scores overstate risk</w:t>
      </w:r>
    </w:p>
    <w:p>
      <w:r>
        <w:t>Why it was apparent: 17 false positives had EXT_SOURCE_2 below 0.11. Across all 32 eyeball applicants below this score, mean prediction was 17.35% while observed difficulty was 12.50%. That small sample suggested overprediction, but the estimate was very uncertain. Counting only the false positives would omit both correct predictions and missed difficulties.</w:t>
      </w:r>
    </w:p>
    <w:p>
      <w:r>
        <w:t>Test: for every blackbox applicant with EXT_SOURCE_2 below 0.11, compare the average model probability with the actual difficulty rate. The hypothesis concerns calibration, not the fraction flagged at a chosen cutoff. A positive predicted-minus-observed gap supports overprediction; an illustrative two-percentage-point margin was recorded before the original test.</w:t>
      </w:r>
    </w:p>
    <w:p>
      <w:r>
        <w:t>Blackbox result: among 2,537 applicants, mean prediction was 18.26% and observed difficulty was 23.02%. The gap was −4.76 percentage points, with a descriptive 95% interval of −6.34 to −3.18. The direction is the opposite of the hypothesis.</w:t>
      </w:r>
    </w:p>
    <w:p>
      <w:r>
        <w:t>Meaning: H1 was not upheld. Low-score applicants were genuinely riskier, and their average risk was underestimated. Many false positives can coexist with underprediction: even in this group, most applicants did not experience recorded difficulty. Do not lower these applicants’ risk scores merely because their errors stood out in the CSV.</w:t>
      </w:r>
    </w:p>
    <w:p>
      <w:pPr>
        <w:pStyle w:val="Heading2"/>
      </w:pPr>
      <w:r>
        <w:t>H2 Credit above four times income increases false alarms</w:t>
      </w:r>
    </w:p>
    <w:p>
      <w:r>
        <w:t>Why it was apparent: 41 of the 95 errors involved credit above four times reported income, including 29 false positives. Among actual negatives in that eyeball group, 29/174 (16.7%) were flagged. The ratio made a plausible explanation for cases without another clear pattern; it did not itself establish causality or unaffordability.</w:t>
      </w:r>
    </w:p>
    <w:p>
      <w:r>
        <w:t>Test: compare false-positive rates for credit/income &gt;4 versus ≤4 among actual negatives. Group applicants simultaneously into 0.20-wide bands of all three external scores, treating missing scores separately. Keep strata with at least 20 negatives in each ratio group, then use identical pooled stratum weights for both groups. Repeat with 0.10-wide bands as a predeclared sensitivity check.</w:t>
      </w:r>
    </w:p>
    <w:p>
      <w:r>
        <w:t>Blackbox result: adjusted FPR was 13.63% above four times income versus 12.03% at or below it. The difference was +1.61 points (95% interval +1.16 to +2.05), covering 97.6% of negatives. Narrower bands reduced the difference to +0.60 points (+0.16 to +1.04), with 81.6% coverage. Unadjusted rates pointed the other way: 12.39% versus 13.62%.</w:t>
      </w:r>
    </w:p>
    <w:p>
      <w:r>
        <w:t>Meaning: H2 has modest descriptive support after score adjustment. The smaller effect under finer grouping warrants caution; the retained population also changes. Other financial characteristics can still confound the association. This motivates a limited feature-engineering experiment, not removing the ratio signal or claiming it causes false positives.</w:t>
      </w:r>
    </w:p>
    <w:p>
      <w:r>
        <w:br w:type="page"/>
      </w:r>
    </w:p>
    <w:p>
      <w:pPr>
        <w:pStyle w:val="Heading1"/>
      </w:pPr>
      <w:r>
        <w:t>Age calibration and missed difficulties</w:t>
      </w:r>
    </w:p>
    <w:p>
      <w:pPr>
        <w:pStyle w:val="Heading2"/>
      </w:pPr>
      <w:r>
        <w:t>H3 Younger false alarms reflect overprediction</w:t>
      </w:r>
    </w:p>
    <w:p>
      <w:r>
        <w:t>Why it was apparent: 20 false positives occurred among 65 actual negatives under 30 in the eyeball set (30.8%). A prominent subset was younger applicants with low EXT_SOURCE_3. Across all 72 young applicants, however, mean prediction was 10.00% versus 9.72% observed difficulty—only a small, uncertain difference. The false-alarm pattern therefore motivated a calibration hypothesis rather than proving it.</w:t>
      </w:r>
    </w:p>
    <w:p>
      <w:r>
        <w:t>Test: compare predicted and observed difficulty rates within fixed age groups, then compare the under-30 calibration residual with the residual for ages 30+. Also inspect fixed probability bins within each age group so average agreement cannot hide large local discrepancies.</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Age group</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Applicants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Predicted</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EF4"/>
          </w:tcPr>
          <w:p>
            <w:pPr>
              <w:spacing w:after="60" w:before="60"/>
            </w:pPr>
            <w:r>
              <w:rPr>
                <w:b/>
                <w:sz w:val="20"/>
              </w:rPr>
              <w:t>Observed</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Under 30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8,900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9.62%</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11.31%</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30 to under 45</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24,675</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7.18%</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9.10%</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45 to under 60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20,531</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5.63%</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6.53%</w:t>
            </w:r>
          </w:p>
        </w:tc>
      </w:tr>
      <w:tr>
        <w:trPr>
          <w:cantSplit/>
        </w:trPr>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60 and older</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6,896</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3.50%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4.81%</w:t>
            </w:r>
          </w:p>
        </w:tc>
      </w:tr>
    </w:tbl>
    <w:p>
      <w:pPr>
        <w:spacing w:after="0"/>
      </w:pPr>
    </w:p>
    <w:p>
      <w:r>
        <w:t>Blackbox result: the under-30 residual was −1.70 points (95% interval −2.33 to −1.07). Its difference from the age-30+ residual was −0.26 points (−0.93 to +0.41). Every under-30 probability bin containing at least 100 applicants also had mean prediction below observed difficulty.</w:t>
      </w:r>
    </w:p>
    <w:p>
      <w:r>
        <w:t>Meaning: H3 was not upheld as an overprediction explanation. The model underpredicts average difficulty across all age groups. This does not prove that base rates alone explain the FPR gap; the cutoff, risk distributions and ranking also matter. Calibration and fairness are related but different evaluations.</w:t>
      </w:r>
    </w:p>
    <w:p>
      <w:pPr>
        <w:pStyle w:val="Heading2"/>
      </w:pPr>
      <w:r>
        <w:t>H4 Older applicants with high scores have missed difficulty</w:t>
      </w:r>
    </w:p>
    <w:p>
      <w:r>
        <w:t>Why it was apparent: among eyeball applicants aged at least 45 with EXT_SOURCE_2 ≥0.50 who actually experienced difficulty, 11/12 (91.7%) were missed, versus 17/28 (60.7%) among other difficulty cases. This was one of the most striking patterns, although based on only 12 eligible observations.</w:t>
      </w:r>
    </w:p>
    <w:p>
      <w:r>
        <w:t>Test: compare false-negative rates within actual difficulty cases. We also compare older versus younger applicants within the same high-score category, and high versus lower scores within older applicants.</w:t>
      </w:r>
    </w:p>
    <w:p>
      <w:r>
        <w:t>Blackbox result: 697/785 (88.8%) versus 2,099/4,140 (50.7%). The combined-group difference was 38.09 percentage points (descriptive 95% interval 35.25 to 40.62). Within high-score difficulty cases, older applicants had 88.8% FNR versus 74.9% for younger applicants. Among older difficulty cases, the lower-score group had 53.5% FNR.</w:t>
      </w:r>
    </w:p>
    <w:p>
      <w:r>
        <w:t>Meaning: H4’s error pattern was upheld, including an age difference within the broad high-score category. High scores generally signal lower risk, so some missed cases are expected; this result identifies where misses concentrate, not proof that the score or age caused them. Prioritize this subgroup when evaluating future changes and explain the borrower and lender harms.</w:t>
      </w:r>
    </w:p>
    <w:p>
      <w:r>
        <w:br w:type="page"/>
      </w:r>
    </w:p>
    <w:p>
      <w:pPr>
        <w:pStyle w:val="Heading1"/>
      </w:pPr>
      <w:r>
        <w:t>Younger false alarms and missing information</w:t>
      </w:r>
    </w:p>
    <w:p>
      <w:pPr>
        <w:pStyle w:val="Heading2"/>
      </w:pPr>
      <w:r>
        <w:t>H5 Younger applicants with low scores have false alarms</w:t>
      </w:r>
    </w:p>
    <w:p>
      <w:r>
        <w:t>Why it was apparent: 7/13 (53.8%) actual negatives under 30 with EXT_SOURCE_3 &lt;0.25 were falsely flagged in the eyeball pool, compared with 60/447 (13.4%) other negatives. The low-score pattern was apparent, but the small sample did not establish an extra age effect: other low-score negatives had 17/30 (56.7%) FPR.</w:t>
      </w:r>
    </w:p>
    <w:p>
      <w:r>
        <w:t>Test: compare FPR for the combined younger/low-score group with other actual negatives. Separately compare ages within the low-score category and score levels among younger negatives. This tests the classification pattern; H3 tested a proposed probability-calibration explanation.</w:t>
      </w:r>
    </w:p>
    <w:p>
      <w:r>
        <w:t>Blackbox result: 613/1,037 (59.1%) versus 6,760/55,040 (12.3%). The combined-group difference was 46.83 percentage points (descriptive 95% interval 43.80 to 49.80). Within low-score negatives, younger applicants had 59.1% FPR versus 48.7% for older applicants, a 10.45-point difference (95% interval 7.03 to 13.81). Younger negatives with higher observed EXT_SOURCE_3 had 16.7% FPR.</w:t>
      </w:r>
    </w:p>
    <w:p>
      <w:r>
        <w:t>Meaning: H5 was upheld as an error pattern. The larger set also reveals an age difference that the small eyeball subgroup could not establish. H3’s failure does not invalidate H5: false alarms can be concentrated in a group even when its average probability is underpredicted. Future changes must track both these false alarms and missed difficulties.</w:t>
      </w:r>
    </w:p>
    <w:p>
      <w:pPr>
        <w:pStyle w:val="Heading2"/>
      </w:pPr>
      <w:r>
        <w:t>H6 Missing external scores explain higher error rates</w:t>
      </w:r>
    </w:p>
    <w:p>
      <w:r>
        <w:t>Why it was apparent: 57 of the 95 reviewed errors had at least one missing external score, making missingness a frequent case-note observation. But missingness was also common among correct cases: eyeball error rates were 57/324 (17.6%) with missing scores versus 38/176 (21.6%) with all three scores present. The count alone did not support a higher-error hypothesis.</w:t>
      </w:r>
    </w:p>
    <w:p>
      <w:r>
        <w:t>Test: compare any missing EXT_SOURCE_1, EXT_SOURCE_2 or EXT_SOURCE_3 against complete scores, using total error rate and separate FPR/FNR. Class-specific rates help distinguish false alarms from misses and reduce confusion caused by different outcome proportions.</w:t>
      </w:r>
    </w:p>
    <w:p>
      <w:r>
        <w:t>Blackbox result: 6,886/39,269 (17.5%) versus 3,283/21,733 (15.1%). Total error rate was higher by 2.43 percentage points (descriptive 95% interval 1.82 to 3.03). FPR was 14.08% with missing scores versus 11.47% with complete scores. FNR went the other way: 55.08% versus 60.22%.</w:t>
      </w:r>
    </w:p>
    <w:p>
      <w:r>
        <w:t>Meaning: the blackbox result supports a modest overall error and false-alarm association, reversing the small eyeball sample’s overall direction. It does not support uniformly worse performance with missing information. Missingness may mark different applicant populations; no imputation defect or causal explanation was established. Keep denominator-based comparisons in the report rather than concluding that frequent missing fields caused most errors.</w:t>
      </w:r>
    </w:p>
    <w:p>
      <w:r>
        <w:br w:type="page"/>
      </w:r>
    </w:p>
    <w:p>
      <w:pPr>
        <w:pStyle w:val="Heading1"/>
      </w:pPr>
      <w:r>
        <w:t>Threshold proximity and conflicting scores</w:t>
      </w:r>
    </w:p>
    <w:p>
      <w:pPr>
        <w:pStyle w:val="Heading2"/>
      </w:pPr>
      <w:r>
        <w:t>H7 Most errors are borderline classifications</w:t>
      </w:r>
    </w:p>
    <w:p>
      <w:r>
        <w:t>Why it was apparent: 20 of the 95 errors had scores within 0.02 of the 12.1% cutoff. Among all 43 eyeball applicants in that band, 20 were wrong (46.5%), compared with 75/457 (16.4%) farther away. This motivated two distinct questions: is the band harder, and does it contain most errors?</w:t>
      </w:r>
    </w:p>
    <w:p>
      <w:r>
        <w:t>Test: use the fixed absolute distance ≤0.02, without searching for a more favorable band. Compare error rates inside and outside it, and report the near-band share of all errors. A “most errors” explanation requires more than half of errors to be in the band.</w:t>
      </w:r>
    </w:p>
    <w:p>
      <w:r>
        <w:t>Blackbox result: 2,276/5,238 (43.5%) versus 7,893/55,764 (14.2%). The error-rate difference was 29.30 percentage points (descriptive 95% interval 27.93 to 30.67). Only 2,276/10,169 errors (22.4%) were near the cutoff, close to the eyeball share of 20/95 (21.1%). The remaining 7,893 errors were outside it.</w:t>
      </w:r>
    </w:p>
    <w:p>
      <w:r>
        <w:t>Meaning: the higher near-threshold error rate was upheld, but the claim that most errors are borderline was not. This association is partly expected from classification near a cutoff. Moving the threshold changes false positives and false negatives in opposite directions and does not improve ranking. It is not a reason to keep adjusting the threshold until the manual review looks better.</w:t>
      </w:r>
    </w:p>
    <w:p>
      <w:pPr>
        <w:pStyle w:val="Heading2"/>
      </w:pPr>
      <w:r>
        <w:t>H8 Conflicting external scores identify difficult cases</w:t>
      </w:r>
    </w:p>
    <w:p>
      <w:r>
        <w:t>Why it was apparent: individual notes included applicants with high EXT_SOURCE_2 but low EXT_SOURCE_3, or the reverse. Under the fixed definition of one score ≥0.50 and the other &lt;0.25, the eyeball pool contained 13 errors among 53 applicants (24.5%), versus 63/344 (18.3%) for other applicants with both scores observed. This was a weaker initial pattern than H4 or H5.</w:t>
      </w:r>
    </w:p>
    <w:p>
      <w:r>
        <w:t>Test: restrict both groups to observed EXT_SOURCE_2 and EXT_SOURCE_3, compare the mixed-score category with all other score pairs, and examine total error rate, FPR and FNR separately. These boundaries are exploratory definitions, not established credit-score standards.</w:t>
      </w:r>
    </w:p>
    <w:p>
      <w:r>
        <w:t>Blackbox result: 1,676/5,896 (28.4%) versus 6,146/42,916 (14.3%). Total error rate was higher by 14.11 percentage points (descriptive 95% interval 12.92 to 15.32). FPR was 24.64% versus 10.96%. FNR was 54.95% versus 58.19%; that difference’s descriptive interval included zero.</w:t>
      </w:r>
    </w:p>
    <w:p>
      <w:r>
        <w:t>Meaning: H8 was upheld as a difficult-subgroup association, mainly through false alarms. It does not establish that score disagreement itself confuses the neural network. The mixed group has a different risk distribution, and the comparison does not hold individual score levels constant. A disagreement indicator or interaction is a reasonable future hypothesis, but earlier score-feature experiments do not guarantee an improvement for this gender-excluded model.</w:t>
      </w:r>
    </w:p>
    <w:p>
      <w:r>
        <w:br w:type="page"/>
      </w:r>
    </w:p>
    <w:p>
      <w:pPr>
        <w:pStyle w:val="Heading1"/>
      </w:pPr>
      <w:r>
        <w:t>Employment information and study conclusions</w:t>
      </w:r>
    </w:p>
    <w:p>
      <w:pPr>
        <w:pStyle w:val="Heading2"/>
      </w:pPr>
      <w:r>
        <w:t>H9 The employment placeholder is an error source</w:t>
      </w:r>
    </w:p>
    <w:p>
      <w:r>
        <w:t>Why it was apparent: 11 error records contained the raw DAYS_EMPLOYED value 365243. In the full eyeball pool, that group had 11/97 (11.3%) errors versus 84/403 (20.8%) elsewhere. All four actual difficulty cases in the placeholder group were missed, but four cases are insufficient for a strong conclusion. This was a case-note concern, not a dominant total-error pattern.</w:t>
      </w:r>
    </w:p>
    <w:p>
      <w:r>
        <w:t>Test: compare placeholder versus other raw employment values on total error rate, FPR and FNR. The model already replaces the placeholder with missingness and includes an indicator; the audit retains the raw value to identify the subgroup.</w:t>
      </w:r>
    </w:p>
    <w:p>
      <w:r>
        <w:t>Blackbox result: placeholder applicants had 930/10,924 errors (8.51%) versus 9,239/50,078 (18.45%). Their FPR was 4.64% versus 15.07%, but their FNR was 450/574 (78.40%) versus 2,346/4,351 (53.92%). The FNR difference was +24.48 points (95% interval +20.63 to +27.98).</w:t>
      </w:r>
    </w:p>
    <w:p>
      <w:r>
        <w:t>Meaning: an increased overall error rate or uncorrected sentinel defect was not supported. A missed-difficulty subgroup was supported. It could overlap strongly with older applicants and other characteristics; we did not isolate an employment-specific effect. Do not reintroduce the sentinel as a numeric duration or remove these cases merely because they are difficult.</w:t>
      </w:r>
    </w:p>
    <w:p>
      <w:pPr>
        <w:pStyle w:val="Heading2"/>
      </w:pPr>
      <w:r>
        <w:t>What this means for the study</w:t>
      </w:r>
    </w:p>
    <w:p>
      <w:r>
        <w:t>The strongest recurring failure patterns are H4 and H5. H8 offers an additional feature-interaction hypothesis, while H2 has a smaller association that weakens with tighter score matching. H6 and H9 demonstrate why overall error, false alarms and missed difficulty must be reported separately. H1 and H3 rule against the proposed overprediction explanations. H7 argues against treating another small cutoff adjustment as the main remedy.</w:t>
      </w:r>
    </w:p>
    <w:p>
      <w:r>
        <w:t>These results complete the observation-to-hypothesis-to-larger-sample check. They do not establish a root cause or demonstrate that a new model is better. Any further experiment should state its intended improvement first, compare on blackbox validation, and report overall ranking plus the affected groups’ FPR and FNR. Overlapping groups must not be added together as independent sources of error. The existing 95-row CSV remains the manual-review submission; verify its draft observations before marking team review complete.</w:t>
      </w:r>
    </w:p>
    <w:p>
      <w:pPr>
        <w:pStyle w:val="Heading2"/>
      </w:pPr>
      <w:r>
        <w:t>How to interpret the evidence</w:t>
      </w:r>
    </w:p>
    <w:p>
      <w:r>
        <w:t>“Supported” means the specified association appeared in this blackbox set. The set had already selected the model checkpoint and cutoff, and several related hypotheses were examined. Reported 95% intervals are descriptive, not corrected for multiple comparisons, model selection, repeated dev use or possible dependence. Rate differences use Wilson/Newcombe intervals; calibration gaps use sample standard errors, and the H2 adjusted contrast uses stratum binomial variances. No individual blackbox cases were inspected, and no test predictions were loaded.</w:t>
      </w:r>
    </w:p>
    <w:p>
      <w:pPr>
        <w:pStyle w:val="Heading2"/>
      </w:pPr>
      <w:r>
        <w:t>Evidence record</w:t>
      </w:r>
    </w:p>
    <w:p>
      <w:r>
        <w:t>Reproducible analysis: Blackbox_Error_Hypotheses.ipynb. Manual review: eyeball_error_review.csv and eyeball_predictions.csv for model application_no_gender_weight_decay_20261013T064129748622Z. Recorded plans: Protocol.md and Additional_protocol.md. Aggregate results: H1–H3 JSON tables and additional_hypothesis_results.json in hypothesis_analysis/blackbox_no_gender. The error-analysis workflow follows DATA4401-Lec09-Yearning03: examine eyeball errors, propose changes and compare using blackbox dev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